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E1F0F" w14:textId="7EAA3D90" w:rsidR="009D4844" w:rsidRPr="00C17691" w:rsidRDefault="009D4844" w:rsidP="00C82398">
      <w:pPr>
        <w:rPr>
          <w:rFonts w:cs="Arial"/>
          <w:b/>
        </w:rPr>
      </w:pPr>
      <w:r w:rsidRPr="00C17691">
        <w:rPr>
          <w:rFonts w:cs="Arial"/>
          <w:b/>
        </w:rPr>
        <w:t>POSTAL SERVICE</w:t>
      </w:r>
    </w:p>
    <w:p w14:paraId="590A3A92" w14:textId="0D818BC1" w:rsidR="009D4844" w:rsidRPr="00C17691" w:rsidRDefault="009D4844" w:rsidP="00C82398">
      <w:pPr>
        <w:rPr>
          <w:rFonts w:cs="Arial"/>
        </w:rPr>
      </w:pPr>
      <w:r w:rsidRPr="00C17691">
        <w:rPr>
          <w:rFonts w:cs="Arial"/>
          <w:b/>
        </w:rPr>
        <w:t>39</w:t>
      </w:r>
      <w:r w:rsidR="0044268F">
        <w:rPr>
          <w:rFonts w:cs="Arial"/>
          <w:b/>
        </w:rPr>
        <w:t xml:space="preserve"> CFR</w:t>
      </w:r>
      <w:r w:rsidRPr="00C17691">
        <w:rPr>
          <w:rFonts w:cs="Arial"/>
          <w:b/>
        </w:rPr>
        <w:t xml:space="preserve"> Part</w:t>
      </w:r>
      <w:r w:rsidR="000D3A79">
        <w:rPr>
          <w:rFonts w:cs="Arial"/>
          <w:b/>
        </w:rPr>
        <w:t>s</w:t>
      </w:r>
      <w:r w:rsidRPr="00C17691">
        <w:rPr>
          <w:rFonts w:cs="Arial"/>
          <w:b/>
        </w:rPr>
        <w:t xml:space="preserve"> </w:t>
      </w:r>
      <w:r w:rsidR="000D3A79">
        <w:rPr>
          <w:rFonts w:cs="Arial"/>
          <w:b/>
        </w:rPr>
        <w:t>1</w:t>
      </w:r>
      <w:r w:rsidRPr="00C17691">
        <w:rPr>
          <w:rFonts w:cs="Arial"/>
          <w:b/>
        </w:rPr>
        <w:t>11</w:t>
      </w:r>
      <w:r w:rsidR="000D3A79">
        <w:rPr>
          <w:rFonts w:cs="Arial"/>
          <w:b/>
        </w:rPr>
        <w:t>, 211</w:t>
      </w:r>
    </w:p>
    <w:p w14:paraId="7875CEC0" w14:textId="68245D5E" w:rsidR="009D4844" w:rsidRPr="00C17691" w:rsidRDefault="002F4C3D" w:rsidP="00C82398">
      <w:pPr>
        <w:rPr>
          <w:rFonts w:cs="Arial"/>
          <w:b/>
          <w:bCs/>
        </w:rPr>
      </w:pPr>
      <w:r w:rsidRPr="00C17691">
        <w:rPr>
          <w:rFonts w:cs="Arial"/>
          <w:b/>
          <w:bCs/>
        </w:rPr>
        <w:t xml:space="preserve">Treatment of E-Cigarettes </w:t>
      </w:r>
      <w:r w:rsidR="00E527DC" w:rsidRPr="00C17691">
        <w:rPr>
          <w:rFonts w:cs="Arial"/>
          <w:b/>
          <w:bCs/>
        </w:rPr>
        <w:t xml:space="preserve">in the Mail </w:t>
      </w:r>
    </w:p>
    <w:p w14:paraId="5A89822D" w14:textId="77777777" w:rsidR="009D4844" w:rsidRPr="00C17691" w:rsidRDefault="009D4844" w:rsidP="00C82398">
      <w:pPr>
        <w:rPr>
          <w:rFonts w:cs="Arial"/>
        </w:rPr>
      </w:pPr>
      <w:r w:rsidRPr="00C17691">
        <w:rPr>
          <w:rFonts w:cs="Arial"/>
          <w:b/>
        </w:rPr>
        <w:t>AGENCY</w:t>
      </w:r>
      <w:r w:rsidRPr="00C17691">
        <w:rPr>
          <w:rFonts w:cs="Arial"/>
        </w:rPr>
        <w:t>: Postal Service™.</w:t>
      </w:r>
    </w:p>
    <w:p w14:paraId="6853DDE0" w14:textId="26B6D9DE" w:rsidR="009D4844" w:rsidRPr="00C17691" w:rsidRDefault="009D4844" w:rsidP="00C82398">
      <w:pPr>
        <w:rPr>
          <w:rFonts w:cs="Arial"/>
        </w:rPr>
      </w:pPr>
      <w:r w:rsidRPr="00C17691">
        <w:rPr>
          <w:rFonts w:cs="Arial"/>
          <w:b/>
        </w:rPr>
        <w:t>ACTION</w:t>
      </w:r>
      <w:r w:rsidRPr="00C17691">
        <w:rPr>
          <w:rFonts w:cs="Arial"/>
        </w:rPr>
        <w:t xml:space="preserve">: </w:t>
      </w:r>
      <w:r w:rsidR="006A453B" w:rsidRPr="00C17691">
        <w:rPr>
          <w:rFonts w:cs="Arial"/>
        </w:rPr>
        <w:t xml:space="preserve"> </w:t>
      </w:r>
      <w:r w:rsidR="00C17691" w:rsidRPr="00C17691">
        <w:rPr>
          <w:rFonts w:cs="Arial"/>
        </w:rPr>
        <w:t>Final rule</w:t>
      </w:r>
      <w:r w:rsidR="00F739BC" w:rsidRPr="00C17691">
        <w:rPr>
          <w:rFonts w:cs="Arial"/>
        </w:rPr>
        <w:t>.</w:t>
      </w:r>
    </w:p>
    <w:p w14:paraId="7473B8EE" w14:textId="7766D6E1" w:rsidR="00544E0D" w:rsidRPr="00C17691" w:rsidRDefault="009D4844" w:rsidP="00C82398">
      <w:pPr>
        <w:rPr>
          <w:rFonts w:cs="Arial"/>
        </w:rPr>
      </w:pPr>
      <w:r w:rsidRPr="00C17691">
        <w:rPr>
          <w:rFonts w:cs="Arial"/>
          <w:b/>
        </w:rPr>
        <w:t>SUMMARY</w:t>
      </w:r>
      <w:r w:rsidRPr="00C17691">
        <w:rPr>
          <w:rFonts w:cs="Arial"/>
        </w:rPr>
        <w:t xml:space="preserve">: </w:t>
      </w:r>
      <w:r w:rsidR="006A453B" w:rsidRPr="00C17691">
        <w:rPr>
          <w:rFonts w:cs="Arial"/>
        </w:rPr>
        <w:t xml:space="preserve"> </w:t>
      </w:r>
      <w:r w:rsidRPr="00C17691">
        <w:rPr>
          <w:rFonts w:cs="Arial"/>
        </w:rPr>
        <w:t>T</w:t>
      </w:r>
      <w:r w:rsidRPr="00C17691">
        <w:rPr>
          <w:rFonts w:cs="Arial"/>
          <w:bCs/>
        </w:rPr>
        <w:t xml:space="preserve">he Postal Service </w:t>
      </w:r>
      <w:r w:rsidR="00022D0B" w:rsidRPr="00C17691">
        <w:rPr>
          <w:rFonts w:cs="Arial"/>
          <w:bCs/>
        </w:rPr>
        <w:t>revise</w:t>
      </w:r>
      <w:r w:rsidR="00C17691" w:rsidRPr="00C17691">
        <w:rPr>
          <w:rFonts w:cs="Arial"/>
          <w:bCs/>
        </w:rPr>
        <w:t>s</w:t>
      </w:r>
      <w:r w:rsidR="000D3A79">
        <w:rPr>
          <w:rFonts w:cs="Arial"/>
          <w:bCs/>
        </w:rPr>
        <w:t xml:space="preserve"> its regulations in</w:t>
      </w:r>
      <w:r w:rsidR="00022D0B" w:rsidRPr="00C17691">
        <w:rPr>
          <w:rFonts w:cs="Arial"/>
          <w:bCs/>
        </w:rPr>
        <w:t xml:space="preserve"> </w:t>
      </w:r>
      <w:r w:rsidR="009C221D" w:rsidRPr="00C17691">
        <w:rPr>
          <w:rFonts w:cs="Arial"/>
          <w:bCs/>
          <w:iCs/>
        </w:rPr>
        <w:t>Publication 52,</w:t>
      </w:r>
      <w:r w:rsidR="009C221D" w:rsidRPr="00C17691">
        <w:rPr>
          <w:rFonts w:cs="Arial"/>
          <w:bCs/>
          <w:i/>
        </w:rPr>
        <w:t xml:space="preserve"> Hazardous, Restricted, and Perishable Ma</w:t>
      </w:r>
      <w:r w:rsidR="00707E07" w:rsidRPr="00C17691">
        <w:rPr>
          <w:rFonts w:cs="Arial"/>
          <w:bCs/>
          <w:i/>
        </w:rPr>
        <w:t>il</w:t>
      </w:r>
      <w:r w:rsidR="00E33C06" w:rsidRPr="00C17691">
        <w:rPr>
          <w:rFonts w:cs="Arial"/>
          <w:bCs/>
        </w:rPr>
        <w:t>,</w:t>
      </w:r>
      <w:r w:rsidRPr="00C17691">
        <w:rPr>
          <w:rFonts w:cs="Arial"/>
          <w:bCs/>
        </w:rPr>
        <w:t xml:space="preserve"> </w:t>
      </w:r>
      <w:bookmarkStart w:id="0" w:name="_Hlk79659649"/>
      <w:bookmarkStart w:id="1" w:name="_Hlk62828049"/>
      <w:r w:rsidR="00F739BC" w:rsidRPr="00C17691">
        <w:rPr>
          <w:rFonts w:cs="Arial"/>
          <w:bCs/>
        </w:rPr>
        <w:t xml:space="preserve">to incorporate new statutory restrictions on </w:t>
      </w:r>
      <w:r w:rsidRPr="00C17691">
        <w:rPr>
          <w:rFonts w:cs="Arial"/>
          <w:bCs/>
        </w:rPr>
        <w:t>the mailing of</w:t>
      </w:r>
      <w:r w:rsidR="00B852CF" w:rsidRPr="00C17691">
        <w:rPr>
          <w:rFonts w:cs="Arial"/>
          <w:bCs/>
        </w:rPr>
        <w:t xml:space="preserve"> </w:t>
      </w:r>
      <w:r w:rsidR="00F739BC" w:rsidRPr="00C17691">
        <w:rPr>
          <w:rFonts w:cs="Arial"/>
          <w:bCs/>
        </w:rPr>
        <w:t>electronic nicotine delivery systems</w:t>
      </w:r>
      <w:bookmarkEnd w:id="0"/>
      <w:r w:rsidR="00544E0D" w:rsidRPr="00C17691">
        <w:rPr>
          <w:rFonts w:cs="Arial"/>
        </w:rPr>
        <w:t xml:space="preserve">. </w:t>
      </w:r>
      <w:bookmarkEnd w:id="1"/>
      <w:r w:rsidR="00C17691">
        <w:rPr>
          <w:rFonts w:cs="Arial"/>
        </w:rPr>
        <w:t>Like cigarettes and smokeless tobacco, s</w:t>
      </w:r>
      <w:r w:rsidR="00F739BC" w:rsidRPr="00C17691">
        <w:rPr>
          <w:rFonts w:cs="Arial"/>
        </w:rPr>
        <w:t xml:space="preserve">uch items </w:t>
      </w:r>
      <w:r w:rsidR="00C17691">
        <w:rPr>
          <w:rFonts w:cs="Arial"/>
        </w:rPr>
        <w:t>are</w:t>
      </w:r>
      <w:r w:rsidR="00F739BC" w:rsidRPr="00C17691">
        <w:rPr>
          <w:rFonts w:cs="Arial"/>
        </w:rPr>
        <w:t xml:space="preserve"> </w:t>
      </w:r>
      <w:r w:rsidR="00C17691">
        <w:rPr>
          <w:rFonts w:cs="Arial"/>
        </w:rPr>
        <w:t>generally nonmailable</w:t>
      </w:r>
      <w:r w:rsidR="00F739BC" w:rsidRPr="00C17691">
        <w:rPr>
          <w:rFonts w:cs="Arial"/>
        </w:rPr>
        <w:t xml:space="preserve">, subject to </w:t>
      </w:r>
      <w:r w:rsidR="00C17691">
        <w:rPr>
          <w:rFonts w:cs="Arial"/>
        </w:rPr>
        <w:t xml:space="preserve">certain </w:t>
      </w:r>
      <w:r w:rsidR="00F739BC" w:rsidRPr="00C17691">
        <w:rPr>
          <w:rFonts w:cs="Arial"/>
        </w:rPr>
        <w:t>exceptions.</w:t>
      </w:r>
    </w:p>
    <w:p w14:paraId="168A8B82" w14:textId="611C1CFC" w:rsidR="009D4844" w:rsidRPr="00C17691" w:rsidRDefault="009D4844" w:rsidP="00C82398">
      <w:pPr>
        <w:rPr>
          <w:rFonts w:cs="Arial"/>
        </w:rPr>
      </w:pPr>
      <w:r w:rsidRPr="00C17691">
        <w:rPr>
          <w:rFonts w:cs="Arial"/>
          <w:b/>
        </w:rPr>
        <w:t>DATES</w:t>
      </w:r>
      <w:r w:rsidRPr="00C17691">
        <w:rPr>
          <w:rFonts w:cs="Arial"/>
        </w:rPr>
        <w:t xml:space="preserve">:  </w:t>
      </w:r>
      <w:r w:rsidR="006D7B8C">
        <w:rPr>
          <w:rFonts w:cs="Arial"/>
        </w:rPr>
        <w:t xml:space="preserve">This rule is effective </w:t>
      </w:r>
      <w:r w:rsidR="00980849" w:rsidRPr="00980849">
        <w:rPr>
          <w:rFonts w:cs="Arial"/>
          <w:shd w:val="clear" w:color="auto" w:fill="FFFF00"/>
        </w:rPr>
        <w:t>October 21, 2021</w:t>
      </w:r>
      <w:r w:rsidR="006D7B8C" w:rsidRPr="00980849">
        <w:rPr>
          <w:rFonts w:cs="Arial"/>
        </w:rPr>
        <w:t>.</w:t>
      </w:r>
    </w:p>
    <w:p w14:paraId="60A79182" w14:textId="3DDB336B" w:rsidR="00123F4E" w:rsidRPr="00C17691" w:rsidRDefault="00A239B2" w:rsidP="00C17691">
      <w:pPr>
        <w:rPr>
          <w:rFonts w:cs="Arial"/>
          <w:bCs/>
        </w:rPr>
      </w:pPr>
      <w:r>
        <w:rPr>
          <w:rFonts w:cs="Arial"/>
          <w:b/>
        </w:rPr>
        <w:t>FOR FURTHER INFORMATION CONTACT</w:t>
      </w:r>
      <w:r w:rsidR="009D4844" w:rsidRPr="00C17691">
        <w:rPr>
          <w:rFonts w:cs="Arial"/>
        </w:rPr>
        <w:t xml:space="preserve">:  </w:t>
      </w:r>
      <w:r w:rsidR="00247B44">
        <w:rPr>
          <w:rFonts w:cs="Arial"/>
        </w:rPr>
        <w:t>Dale E. Kennedy</w:t>
      </w:r>
      <w:r w:rsidR="009D4844" w:rsidRPr="00C17691">
        <w:rPr>
          <w:rFonts w:cs="Arial"/>
        </w:rPr>
        <w:t xml:space="preserve">, </w:t>
      </w:r>
      <w:r w:rsidR="00E81F7A">
        <w:rPr>
          <w:rFonts w:cs="Arial"/>
        </w:rPr>
        <w:t>Director</w:t>
      </w:r>
      <w:r w:rsidR="003435B0">
        <w:rPr>
          <w:rFonts w:cs="Arial"/>
        </w:rPr>
        <w:t xml:space="preserve">, </w:t>
      </w:r>
      <w:r w:rsidR="00707E07" w:rsidRPr="00C17691">
        <w:rPr>
          <w:rFonts w:cs="Arial"/>
        </w:rPr>
        <w:t>Product Classification</w:t>
      </w:r>
      <w:r w:rsidR="009D4844" w:rsidRPr="00C17691">
        <w:rPr>
          <w:rFonts w:cs="Arial"/>
        </w:rPr>
        <w:t xml:space="preserve">, </w:t>
      </w:r>
      <w:r w:rsidR="00B7707D">
        <w:rPr>
          <w:rFonts w:cs="Arial"/>
        </w:rPr>
        <w:t xml:space="preserve">at </w:t>
      </w:r>
      <w:r w:rsidR="00247B44" w:rsidRPr="00C17691">
        <w:rPr>
          <w:rFonts w:cs="Arial"/>
        </w:rPr>
        <w:t>202-268-6592</w:t>
      </w:r>
      <w:r w:rsidR="00123F4E" w:rsidRPr="00C17691">
        <w:rPr>
          <w:rFonts w:cs="Arial"/>
          <w:bCs/>
        </w:rPr>
        <w:t>.</w:t>
      </w:r>
    </w:p>
    <w:p w14:paraId="1A87FABD" w14:textId="77777777" w:rsidR="009D4844" w:rsidRPr="00C17691" w:rsidRDefault="009D4844" w:rsidP="00C82398">
      <w:pPr>
        <w:pStyle w:val="BodyTextIndent2"/>
        <w:ind w:left="0" w:firstLine="0"/>
        <w:rPr>
          <w:b/>
          <w:sz w:val="24"/>
          <w:szCs w:val="24"/>
        </w:rPr>
      </w:pPr>
      <w:r w:rsidRPr="00C17691">
        <w:rPr>
          <w:b/>
          <w:sz w:val="24"/>
          <w:szCs w:val="24"/>
        </w:rPr>
        <w:t xml:space="preserve">SUPPLEMENTARY INFORMATION: </w:t>
      </w:r>
    </w:p>
    <w:p w14:paraId="6735F3FE" w14:textId="0606955D" w:rsidR="00E71824" w:rsidRDefault="00E71824" w:rsidP="00F739BC">
      <w:pPr>
        <w:rPr>
          <w:rFonts w:cs="Arial"/>
        </w:rPr>
      </w:pPr>
      <w:r>
        <w:rPr>
          <w:rFonts w:cs="Arial"/>
          <w:b/>
          <w:bCs/>
        </w:rPr>
        <w:t>Table of Contents</w:t>
      </w:r>
    </w:p>
    <w:p w14:paraId="3908C4CF" w14:textId="77777777" w:rsidR="008708FA" w:rsidRDefault="008708FA" w:rsidP="008708FA">
      <w:pPr>
        <w:rPr>
          <w:noProof/>
        </w:rPr>
      </w:pPr>
      <w:r>
        <w:rPr>
          <w:noProof/>
        </w:rPr>
        <w:t>I.</w:t>
      </w:r>
      <w:r>
        <w:rPr>
          <w:rFonts w:asciiTheme="minorHAnsi" w:eastAsiaTheme="minorEastAsia" w:hAnsiTheme="minorHAnsi" w:cstheme="minorBidi"/>
          <w:noProof/>
          <w:sz w:val="22"/>
          <w:szCs w:val="22"/>
        </w:rPr>
        <w:tab/>
      </w:r>
      <w:r w:rsidRPr="008708FA">
        <w:t xml:space="preserve"> </w:t>
      </w:r>
      <w:r>
        <w:rPr>
          <w:noProof/>
        </w:rPr>
        <w:t>Background</w:t>
      </w:r>
    </w:p>
    <w:p w14:paraId="20730D1F" w14:textId="77777777" w:rsidR="008708FA" w:rsidRDefault="008708FA" w:rsidP="008708FA">
      <w:pPr>
        <w:rPr>
          <w:noProof/>
        </w:rPr>
      </w:pPr>
      <w:r>
        <w:rPr>
          <w:noProof/>
        </w:rPr>
        <w:t>II.</w:t>
      </w:r>
      <w:r>
        <w:rPr>
          <w:noProof/>
        </w:rPr>
        <w:tab/>
        <w:t>Summary of Final Rule</w:t>
      </w:r>
    </w:p>
    <w:p w14:paraId="78CB2285" w14:textId="77777777" w:rsidR="008708FA" w:rsidRDefault="008708FA" w:rsidP="008708FA">
      <w:pPr>
        <w:rPr>
          <w:noProof/>
        </w:rPr>
      </w:pPr>
      <w:r>
        <w:rPr>
          <w:noProof/>
        </w:rPr>
        <w:t>III.</w:t>
      </w:r>
      <w:r>
        <w:rPr>
          <w:noProof/>
        </w:rPr>
        <w:tab/>
        <w:t>Response to Comments</w:t>
      </w:r>
    </w:p>
    <w:p w14:paraId="23F8345D" w14:textId="77777777" w:rsidR="008708FA" w:rsidRDefault="008708FA" w:rsidP="008708FA">
      <w:pPr>
        <w:rPr>
          <w:noProof/>
        </w:rPr>
      </w:pPr>
      <w:r>
        <w:rPr>
          <w:noProof/>
        </w:rPr>
        <w:t>A.</w:t>
      </w:r>
      <w:r>
        <w:rPr>
          <w:noProof/>
        </w:rPr>
        <w:tab/>
        <w:t>Lack of Policy Discretion</w:t>
      </w:r>
    </w:p>
    <w:p w14:paraId="03FDAAEE" w14:textId="77777777" w:rsidR="008708FA" w:rsidRDefault="008708FA" w:rsidP="008708FA">
      <w:pPr>
        <w:rPr>
          <w:noProof/>
        </w:rPr>
      </w:pPr>
      <w:r>
        <w:rPr>
          <w:noProof/>
        </w:rPr>
        <w:t>1.</w:t>
      </w:r>
      <w:r>
        <w:rPr>
          <w:noProof/>
        </w:rPr>
        <w:tab/>
        <w:t>Extra-statutory Expansion of Mailability</w:t>
      </w:r>
    </w:p>
    <w:p w14:paraId="35932974" w14:textId="77777777" w:rsidR="008708FA" w:rsidRDefault="008708FA" w:rsidP="008708FA">
      <w:pPr>
        <w:rPr>
          <w:noProof/>
        </w:rPr>
      </w:pPr>
      <w:r>
        <w:rPr>
          <w:noProof/>
        </w:rPr>
        <w:t>2.</w:t>
      </w:r>
      <w:r>
        <w:rPr>
          <w:noProof/>
        </w:rPr>
        <w:tab/>
        <w:t>Extra-statutory Restriction of Mailability</w:t>
      </w:r>
    </w:p>
    <w:p w14:paraId="69AA1B6F" w14:textId="77777777" w:rsidR="008708FA" w:rsidRDefault="008708FA" w:rsidP="008708FA">
      <w:pPr>
        <w:rPr>
          <w:noProof/>
        </w:rPr>
      </w:pPr>
      <w:r>
        <w:rPr>
          <w:noProof/>
        </w:rPr>
        <w:t>3.</w:t>
      </w:r>
      <w:r>
        <w:rPr>
          <w:noProof/>
        </w:rPr>
        <w:tab/>
        <w:t>Effective Date</w:t>
      </w:r>
    </w:p>
    <w:p w14:paraId="3DEB586D" w14:textId="77777777" w:rsidR="008708FA" w:rsidRDefault="008708FA" w:rsidP="008708FA">
      <w:pPr>
        <w:rPr>
          <w:noProof/>
        </w:rPr>
      </w:pPr>
      <w:r>
        <w:rPr>
          <w:noProof/>
        </w:rPr>
        <w:t>B.</w:t>
      </w:r>
      <w:r>
        <w:rPr>
          <w:noProof/>
        </w:rPr>
        <w:tab/>
        <w:t>Constitutionality</w:t>
      </w:r>
    </w:p>
    <w:p w14:paraId="08AC250B" w14:textId="77777777" w:rsidR="008708FA" w:rsidRDefault="008708FA" w:rsidP="008708FA">
      <w:pPr>
        <w:rPr>
          <w:noProof/>
        </w:rPr>
      </w:pPr>
      <w:r>
        <w:rPr>
          <w:noProof/>
        </w:rPr>
        <w:lastRenderedPageBreak/>
        <w:t>C.</w:t>
      </w:r>
      <w:r>
        <w:rPr>
          <w:noProof/>
        </w:rPr>
        <w:tab/>
        <w:t>Relation to Other Laws</w:t>
      </w:r>
    </w:p>
    <w:p w14:paraId="4F15C97F" w14:textId="77777777" w:rsidR="008708FA" w:rsidRDefault="008708FA" w:rsidP="008708FA">
      <w:pPr>
        <w:rPr>
          <w:noProof/>
        </w:rPr>
      </w:pPr>
      <w:r>
        <w:rPr>
          <w:noProof/>
        </w:rPr>
        <w:t>1.</w:t>
      </w:r>
      <w:r>
        <w:rPr>
          <w:noProof/>
        </w:rPr>
        <w:tab/>
        <w:t>FDA Regulation of Certain ENDS as “Tobacco Products”</w:t>
      </w:r>
    </w:p>
    <w:p w14:paraId="11DFF750" w14:textId="77777777" w:rsidR="008708FA" w:rsidRDefault="008708FA" w:rsidP="008708FA">
      <w:pPr>
        <w:rPr>
          <w:noProof/>
        </w:rPr>
      </w:pPr>
      <w:r>
        <w:rPr>
          <w:noProof/>
        </w:rPr>
        <w:t>2.</w:t>
      </w:r>
      <w:r>
        <w:rPr>
          <w:noProof/>
        </w:rPr>
        <w:tab/>
        <w:t>Laws Regarding Marijuana, Hemp, and Hemp Derivatives</w:t>
      </w:r>
    </w:p>
    <w:p w14:paraId="581F7A4C" w14:textId="77777777" w:rsidR="008708FA" w:rsidRDefault="008708FA" w:rsidP="008708FA">
      <w:pPr>
        <w:rPr>
          <w:noProof/>
        </w:rPr>
      </w:pPr>
      <w:r>
        <w:rPr>
          <w:noProof/>
        </w:rPr>
        <w:t>3.</w:t>
      </w:r>
      <w:r>
        <w:rPr>
          <w:noProof/>
        </w:rPr>
        <w:tab/>
        <w:t>Other Issues</w:t>
      </w:r>
    </w:p>
    <w:p w14:paraId="4AA3A554" w14:textId="77777777" w:rsidR="008708FA" w:rsidRDefault="008708FA" w:rsidP="008708FA">
      <w:pPr>
        <w:rPr>
          <w:noProof/>
        </w:rPr>
      </w:pPr>
      <w:r>
        <w:rPr>
          <w:noProof/>
        </w:rPr>
        <w:t>D.</w:t>
      </w:r>
      <w:r>
        <w:rPr>
          <w:noProof/>
        </w:rPr>
        <w:tab/>
        <w:t>Scope of Covered ENDS Products</w:t>
      </w:r>
    </w:p>
    <w:p w14:paraId="030A5AB1" w14:textId="77777777" w:rsidR="008708FA" w:rsidRDefault="008708FA" w:rsidP="008708FA">
      <w:pPr>
        <w:rPr>
          <w:noProof/>
        </w:rPr>
      </w:pPr>
      <w:r>
        <w:rPr>
          <w:noProof/>
        </w:rPr>
        <w:t>1.</w:t>
      </w:r>
      <w:r>
        <w:rPr>
          <w:noProof/>
        </w:rPr>
        <w:tab/>
        <w:t>Non-Nicotine-Related ENDS Products Generally</w:t>
      </w:r>
    </w:p>
    <w:p w14:paraId="3F45DD3E" w14:textId="77777777" w:rsidR="008708FA" w:rsidRDefault="008708FA" w:rsidP="008708FA">
      <w:pPr>
        <w:rPr>
          <w:noProof/>
        </w:rPr>
      </w:pPr>
      <w:r>
        <w:rPr>
          <w:noProof/>
        </w:rPr>
        <w:t>i.</w:t>
      </w:r>
      <w:r>
        <w:rPr>
          <w:noProof/>
        </w:rPr>
        <w:tab/>
        <w:t>Relation to Nicotine and Flavor</w:t>
      </w:r>
    </w:p>
    <w:p w14:paraId="76455C0E" w14:textId="77777777" w:rsidR="008708FA" w:rsidRDefault="008708FA" w:rsidP="008708FA">
      <w:pPr>
        <w:rPr>
          <w:noProof/>
        </w:rPr>
      </w:pPr>
      <w:r>
        <w:rPr>
          <w:noProof/>
        </w:rPr>
        <w:t>ii.</w:t>
      </w:r>
      <w:r>
        <w:rPr>
          <w:noProof/>
        </w:rPr>
        <w:tab/>
        <w:t>Relation to Listed Devices</w:t>
      </w:r>
    </w:p>
    <w:p w14:paraId="5DE96F55" w14:textId="77777777" w:rsidR="008708FA" w:rsidRDefault="008708FA" w:rsidP="008708FA">
      <w:pPr>
        <w:rPr>
          <w:noProof/>
        </w:rPr>
      </w:pPr>
      <w:r>
        <w:rPr>
          <w:noProof/>
        </w:rPr>
        <w:t>iii.</w:t>
      </w:r>
      <w:r>
        <w:rPr>
          <w:noProof/>
        </w:rPr>
        <w:tab/>
        <w:t>Legislative History of the POSECCA</w:t>
      </w:r>
    </w:p>
    <w:p w14:paraId="5F60FF98" w14:textId="77777777" w:rsidR="008708FA" w:rsidRDefault="008708FA" w:rsidP="008708FA">
      <w:pPr>
        <w:rPr>
          <w:noProof/>
        </w:rPr>
      </w:pPr>
      <w:r>
        <w:rPr>
          <w:noProof/>
        </w:rPr>
        <w:t>2.</w:t>
      </w:r>
      <w:r>
        <w:rPr>
          <w:noProof/>
        </w:rPr>
        <w:tab/>
        <w:t>Products That Aerosolize Non-Solution Solids</w:t>
      </w:r>
    </w:p>
    <w:p w14:paraId="273A63C1" w14:textId="77777777" w:rsidR="008708FA" w:rsidRDefault="008708FA" w:rsidP="008708FA">
      <w:pPr>
        <w:rPr>
          <w:noProof/>
        </w:rPr>
      </w:pPr>
      <w:r>
        <w:rPr>
          <w:noProof/>
        </w:rPr>
        <w:t>3.</w:t>
      </w:r>
      <w:r>
        <w:rPr>
          <w:noProof/>
        </w:rPr>
        <w:tab/>
        <w:t>Heat-Not-Burn Cigarettes</w:t>
      </w:r>
    </w:p>
    <w:p w14:paraId="0611AE6C" w14:textId="77777777" w:rsidR="008708FA" w:rsidRDefault="008708FA" w:rsidP="008708FA">
      <w:pPr>
        <w:rPr>
          <w:noProof/>
        </w:rPr>
      </w:pPr>
      <w:r>
        <w:rPr>
          <w:noProof/>
        </w:rPr>
        <w:t>4.</w:t>
      </w:r>
      <w:r>
        <w:rPr>
          <w:noProof/>
        </w:rPr>
        <w:tab/>
        <w:t>Products That Release Aerosols Into Ambient Air, Not for Direct Inhalation</w:t>
      </w:r>
    </w:p>
    <w:p w14:paraId="6F5D0766" w14:textId="77777777" w:rsidR="008708FA" w:rsidRDefault="008708FA" w:rsidP="008708FA">
      <w:pPr>
        <w:rPr>
          <w:noProof/>
        </w:rPr>
      </w:pPr>
      <w:r>
        <w:rPr>
          <w:noProof/>
        </w:rPr>
        <w:t>5.</w:t>
      </w:r>
      <w:r>
        <w:rPr>
          <w:noProof/>
        </w:rPr>
        <w:tab/>
        <w:t>Natural vs. Synthetic Nicotine</w:t>
      </w:r>
    </w:p>
    <w:p w14:paraId="5EF1CDA9" w14:textId="77777777" w:rsidR="008708FA" w:rsidRDefault="008708FA" w:rsidP="008708FA">
      <w:pPr>
        <w:rPr>
          <w:noProof/>
        </w:rPr>
      </w:pPr>
      <w:r>
        <w:rPr>
          <w:noProof/>
        </w:rPr>
        <w:t>6.</w:t>
      </w:r>
      <w:r>
        <w:rPr>
          <w:noProof/>
        </w:rPr>
        <w:tab/>
        <w:t>Precursors</w:t>
      </w:r>
    </w:p>
    <w:p w14:paraId="7D6BC51A" w14:textId="77777777" w:rsidR="008708FA" w:rsidRDefault="008708FA" w:rsidP="008708FA">
      <w:pPr>
        <w:rPr>
          <w:noProof/>
        </w:rPr>
      </w:pPr>
      <w:r>
        <w:rPr>
          <w:noProof/>
        </w:rPr>
        <w:t>E.</w:t>
      </w:r>
      <w:r>
        <w:rPr>
          <w:noProof/>
        </w:rPr>
        <w:tab/>
        <w:t>Exclusion of Tobacco Cessation and Therapeutic Products</w:t>
      </w:r>
    </w:p>
    <w:p w14:paraId="2A756830" w14:textId="5F67A58B" w:rsidR="008708FA" w:rsidRDefault="008708FA" w:rsidP="008708FA">
      <w:pPr>
        <w:rPr>
          <w:noProof/>
        </w:rPr>
      </w:pPr>
      <w:r>
        <w:rPr>
          <w:noProof/>
        </w:rPr>
        <w:t>F.</w:t>
      </w:r>
      <w:r>
        <w:rPr>
          <w:noProof/>
        </w:rPr>
        <w:tab/>
      </w:r>
      <w:r w:rsidR="007B18DB">
        <w:rPr>
          <w:noProof/>
        </w:rPr>
        <w:t>Intra-Alaska and Intra-Hawaii Shipments</w:t>
      </w:r>
    </w:p>
    <w:p w14:paraId="752AC915" w14:textId="77777777" w:rsidR="008708FA" w:rsidRDefault="008708FA" w:rsidP="008708FA">
      <w:pPr>
        <w:rPr>
          <w:noProof/>
        </w:rPr>
      </w:pPr>
      <w:r>
        <w:rPr>
          <w:noProof/>
        </w:rPr>
        <w:t>G.</w:t>
      </w:r>
      <w:r>
        <w:rPr>
          <w:noProof/>
        </w:rPr>
        <w:tab/>
        <w:t>Business/Regulatory Purposes Exception</w:t>
      </w:r>
    </w:p>
    <w:p w14:paraId="05712E0F" w14:textId="77777777" w:rsidR="008708FA" w:rsidRDefault="008708FA" w:rsidP="008708FA">
      <w:pPr>
        <w:rPr>
          <w:noProof/>
        </w:rPr>
      </w:pPr>
      <w:r>
        <w:rPr>
          <w:noProof/>
        </w:rPr>
        <w:t>1.</w:t>
      </w:r>
      <w:r>
        <w:rPr>
          <w:noProof/>
        </w:rPr>
        <w:tab/>
        <w:t>Availability in General</w:t>
      </w:r>
    </w:p>
    <w:p w14:paraId="620099A3" w14:textId="77777777" w:rsidR="008708FA" w:rsidRDefault="008708FA" w:rsidP="008708FA">
      <w:pPr>
        <w:rPr>
          <w:noProof/>
        </w:rPr>
      </w:pPr>
      <w:r>
        <w:rPr>
          <w:noProof/>
        </w:rPr>
        <w:t>2.</w:t>
      </w:r>
      <w:r>
        <w:rPr>
          <w:noProof/>
        </w:rPr>
        <w:tab/>
        <w:t>Eligible Parties</w:t>
      </w:r>
    </w:p>
    <w:p w14:paraId="4C12F827" w14:textId="77777777" w:rsidR="008708FA" w:rsidRDefault="008708FA" w:rsidP="008708FA">
      <w:pPr>
        <w:rPr>
          <w:noProof/>
        </w:rPr>
      </w:pPr>
      <w:r>
        <w:rPr>
          <w:noProof/>
        </w:rPr>
        <w:t>3.</w:t>
      </w:r>
      <w:r>
        <w:rPr>
          <w:noProof/>
        </w:rPr>
        <w:tab/>
        <w:t>Application Process</w:t>
      </w:r>
    </w:p>
    <w:p w14:paraId="0EC6C644" w14:textId="77777777" w:rsidR="008708FA" w:rsidRDefault="008708FA" w:rsidP="008708FA">
      <w:pPr>
        <w:rPr>
          <w:noProof/>
        </w:rPr>
      </w:pPr>
      <w:r>
        <w:rPr>
          <w:noProof/>
        </w:rPr>
        <w:t>4.</w:t>
      </w:r>
      <w:r>
        <w:rPr>
          <w:noProof/>
        </w:rPr>
        <w:tab/>
        <w:t>Documentation of Legally Operating Status</w:t>
      </w:r>
    </w:p>
    <w:p w14:paraId="7AB0C6DD" w14:textId="77777777" w:rsidR="008708FA" w:rsidRDefault="008708FA" w:rsidP="008708FA">
      <w:pPr>
        <w:rPr>
          <w:noProof/>
        </w:rPr>
      </w:pPr>
      <w:r>
        <w:rPr>
          <w:noProof/>
        </w:rPr>
        <w:t>5.</w:t>
      </w:r>
      <w:r>
        <w:rPr>
          <w:noProof/>
        </w:rPr>
        <w:tab/>
        <w:t>Qualifying Postal Service Products</w:t>
      </w:r>
    </w:p>
    <w:p w14:paraId="6AC9F3E9" w14:textId="77777777" w:rsidR="008708FA" w:rsidRDefault="008708FA" w:rsidP="008708FA">
      <w:pPr>
        <w:rPr>
          <w:noProof/>
        </w:rPr>
      </w:pPr>
      <w:r>
        <w:rPr>
          <w:noProof/>
        </w:rPr>
        <w:t>6.</w:t>
      </w:r>
      <w:r>
        <w:rPr>
          <w:noProof/>
        </w:rPr>
        <w:tab/>
        <w:t>Methods of Tender</w:t>
      </w:r>
    </w:p>
    <w:p w14:paraId="609F1393" w14:textId="77777777" w:rsidR="008708FA" w:rsidRDefault="008708FA" w:rsidP="008708FA">
      <w:pPr>
        <w:rPr>
          <w:noProof/>
        </w:rPr>
      </w:pPr>
      <w:r>
        <w:rPr>
          <w:noProof/>
        </w:rPr>
        <w:lastRenderedPageBreak/>
        <w:t>7.</w:t>
      </w:r>
      <w:r>
        <w:rPr>
          <w:noProof/>
        </w:rPr>
        <w:tab/>
        <w:t>Delivery Requirements</w:t>
      </w:r>
    </w:p>
    <w:p w14:paraId="51BED7D3" w14:textId="77777777" w:rsidR="008708FA" w:rsidRDefault="008708FA" w:rsidP="008708FA">
      <w:pPr>
        <w:rPr>
          <w:noProof/>
        </w:rPr>
      </w:pPr>
      <w:r>
        <w:rPr>
          <w:noProof/>
        </w:rPr>
        <w:t>H.</w:t>
      </w:r>
      <w:r>
        <w:rPr>
          <w:noProof/>
        </w:rPr>
        <w:tab/>
        <w:t>Certain Individuals Exception</w:t>
      </w:r>
    </w:p>
    <w:p w14:paraId="216AA94C" w14:textId="77777777" w:rsidR="008708FA" w:rsidRDefault="008708FA" w:rsidP="008708FA">
      <w:pPr>
        <w:rPr>
          <w:noProof/>
        </w:rPr>
      </w:pPr>
      <w:r>
        <w:rPr>
          <w:noProof/>
        </w:rPr>
        <w:t>I.</w:t>
      </w:r>
      <w:r>
        <w:rPr>
          <w:noProof/>
        </w:rPr>
        <w:tab/>
        <w:t>Consumer Testing and Public Health Exceptions</w:t>
      </w:r>
    </w:p>
    <w:p w14:paraId="13ED94D1" w14:textId="77777777" w:rsidR="008708FA" w:rsidRDefault="008708FA" w:rsidP="008708FA">
      <w:pPr>
        <w:rPr>
          <w:noProof/>
        </w:rPr>
      </w:pPr>
      <w:r>
        <w:rPr>
          <w:noProof/>
        </w:rPr>
        <w:t>1.</w:t>
      </w:r>
      <w:r>
        <w:rPr>
          <w:noProof/>
        </w:rPr>
        <w:tab/>
        <w:t>Testing by Manufacturers</w:t>
      </w:r>
    </w:p>
    <w:p w14:paraId="1C72BEFD" w14:textId="77777777" w:rsidR="008708FA" w:rsidRDefault="008708FA" w:rsidP="008708FA">
      <w:pPr>
        <w:rPr>
          <w:noProof/>
        </w:rPr>
      </w:pPr>
      <w:r>
        <w:rPr>
          <w:noProof/>
        </w:rPr>
        <w:t>2.</w:t>
      </w:r>
      <w:r>
        <w:rPr>
          <w:noProof/>
        </w:rPr>
        <w:tab/>
        <w:t>Testing by Federal Agencies</w:t>
      </w:r>
    </w:p>
    <w:p w14:paraId="7915B810" w14:textId="77777777" w:rsidR="008708FA" w:rsidRDefault="008708FA" w:rsidP="008708FA">
      <w:pPr>
        <w:rPr>
          <w:noProof/>
        </w:rPr>
      </w:pPr>
      <w:r>
        <w:rPr>
          <w:noProof/>
        </w:rPr>
        <w:t>3.</w:t>
      </w:r>
      <w:r>
        <w:rPr>
          <w:noProof/>
        </w:rPr>
        <w:tab/>
        <w:t>Testing by Public-Health Researchers</w:t>
      </w:r>
    </w:p>
    <w:p w14:paraId="51433AF1" w14:textId="77777777" w:rsidR="008708FA" w:rsidRDefault="008708FA" w:rsidP="008708FA">
      <w:pPr>
        <w:rPr>
          <w:noProof/>
        </w:rPr>
      </w:pPr>
      <w:r>
        <w:rPr>
          <w:noProof/>
        </w:rPr>
        <w:t>J.</w:t>
      </w:r>
      <w:r>
        <w:rPr>
          <w:noProof/>
        </w:rPr>
        <w:tab/>
        <w:t>Other Issues</w:t>
      </w:r>
    </w:p>
    <w:p w14:paraId="1B391694" w14:textId="77777777" w:rsidR="008708FA" w:rsidRDefault="008708FA" w:rsidP="008708FA">
      <w:pPr>
        <w:rPr>
          <w:noProof/>
        </w:rPr>
      </w:pPr>
      <w:r>
        <w:rPr>
          <w:noProof/>
        </w:rPr>
        <w:t>1.</w:t>
      </w:r>
      <w:r>
        <w:rPr>
          <w:noProof/>
        </w:rPr>
        <w:tab/>
        <w:t>International and Overseas Military/Diplomatic Mail</w:t>
      </w:r>
    </w:p>
    <w:p w14:paraId="7823FC3C" w14:textId="77777777" w:rsidR="008708FA" w:rsidRDefault="008708FA" w:rsidP="008708FA">
      <w:pPr>
        <w:rPr>
          <w:noProof/>
        </w:rPr>
      </w:pPr>
      <w:r>
        <w:rPr>
          <w:noProof/>
        </w:rPr>
        <w:t>2.</w:t>
      </w:r>
      <w:r>
        <w:rPr>
          <w:noProof/>
        </w:rPr>
        <w:tab/>
        <w:t>Reasonable Cause</w:t>
      </w:r>
    </w:p>
    <w:p w14:paraId="17908D26" w14:textId="77777777" w:rsidR="008708FA" w:rsidRDefault="008708FA" w:rsidP="008708FA">
      <w:pPr>
        <w:rPr>
          <w:noProof/>
        </w:rPr>
      </w:pPr>
      <w:r>
        <w:rPr>
          <w:noProof/>
        </w:rPr>
        <w:t>3.</w:t>
      </w:r>
      <w:r>
        <w:rPr>
          <w:noProof/>
        </w:rPr>
        <w:tab/>
        <w:t>Terminology</w:t>
      </w:r>
    </w:p>
    <w:p w14:paraId="1F83AE51" w14:textId="77777777" w:rsidR="008708FA" w:rsidRDefault="008708FA" w:rsidP="008708FA">
      <w:pPr>
        <w:rPr>
          <w:noProof/>
        </w:rPr>
      </w:pPr>
      <w:r>
        <w:rPr>
          <w:noProof/>
        </w:rPr>
        <w:t>4.</w:t>
      </w:r>
      <w:r>
        <w:rPr>
          <w:noProof/>
        </w:rPr>
        <w:tab/>
        <w:t>Communications</w:t>
      </w:r>
    </w:p>
    <w:p w14:paraId="19C32628" w14:textId="77777777" w:rsidR="008708FA" w:rsidRDefault="008708FA" w:rsidP="008708FA">
      <w:pPr>
        <w:rPr>
          <w:noProof/>
        </w:rPr>
      </w:pPr>
      <w:r>
        <w:rPr>
          <w:noProof/>
        </w:rPr>
        <w:t>5.</w:t>
      </w:r>
      <w:r>
        <w:rPr>
          <w:noProof/>
        </w:rPr>
        <w:tab/>
        <w:t>Enforcement</w:t>
      </w:r>
    </w:p>
    <w:p w14:paraId="6E9B8001" w14:textId="77777777" w:rsidR="008708FA" w:rsidRDefault="008708FA" w:rsidP="008708FA">
      <w:pPr>
        <w:rPr>
          <w:noProof/>
        </w:rPr>
      </w:pPr>
      <w:r>
        <w:rPr>
          <w:noProof/>
        </w:rPr>
        <w:t>6.</w:t>
      </w:r>
      <w:r>
        <w:rPr>
          <w:noProof/>
        </w:rPr>
        <w:tab/>
        <w:t>Availability of Rules’ Text</w:t>
      </w:r>
    </w:p>
    <w:p w14:paraId="5E8A9E66" w14:textId="77777777" w:rsidR="008708FA" w:rsidRDefault="008708FA" w:rsidP="008708FA">
      <w:pPr>
        <w:rPr>
          <w:noProof/>
        </w:rPr>
      </w:pPr>
      <w:r>
        <w:rPr>
          <w:noProof/>
        </w:rPr>
        <w:t>7.</w:t>
      </w:r>
      <w:r>
        <w:rPr>
          <w:noProof/>
        </w:rPr>
        <w:tab/>
        <w:t>Updates</w:t>
      </w:r>
    </w:p>
    <w:p w14:paraId="499DE777" w14:textId="06EB8899" w:rsidR="00ED02A1" w:rsidRPr="00E71824" w:rsidRDefault="008708FA" w:rsidP="008708FA">
      <w:r>
        <w:rPr>
          <w:noProof/>
        </w:rPr>
        <w:t>IV.</w:t>
      </w:r>
      <w:r>
        <w:rPr>
          <w:noProof/>
        </w:rPr>
        <w:tab/>
        <w:t>Explanation of Changes from Proposed Rule</w:t>
      </w:r>
    </w:p>
    <w:p w14:paraId="36F20CFE" w14:textId="46450416" w:rsidR="00E71824" w:rsidRPr="006F5D98" w:rsidRDefault="008708FA" w:rsidP="00FE6779">
      <w:pPr>
        <w:rPr>
          <w:bCs/>
        </w:rPr>
      </w:pPr>
      <w:bookmarkStart w:id="2" w:name="_Toc79569792"/>
      <w:r w:rsidRPr="00FE6779">
        <w:rPr>
          <w:b/>
          <w:bCs/>
        </w:rPr>
        <w:t>I.</w:t>
      </w:r>
      <w:r w:rsidRPr="00FE6779">
        <w:rPr>
          <w:b/>
          <w:bCs/>
        </w:rPr>
        <w:tab/>
      </w:r>
      <w:r w:rsidR="004974AF" w:rsidRPr="00FE6779">
        <w:rPr>
          <w:b/>
          <w:bCs/>
        </w:rPr>
        <w:t>Background</w:t>
      </w:r>
      <w:bookmarkEnd w:id="2"/>
    </w:p>
    <w:p w14:paraId="28928562" w14:textId="763D7F5C" w:rsidR="00F739BC" w:rsidRPr="000D3A79" w:rsidRDefault="00F739BC" w:rsidP="00FE6779">
      <w:pPr>
        <w:ind w:firstLine="720"/>
        <w:rPr>
          <w:rFonts w:cs="Arial"/>
        </w:rPr>
      </w:pPr>
      <w:r w:rsidRPr="00C17691">
        <w:rPr>
          <w:rFonts w:cs="Arial"/>
        </w:rPr>
        <w:t xml:space="preserve">The Postal Service </w:t>
      </w:r>
      <w:r w:rsidR="00247B44">
        <w:rPr>
          <w:rFonts w:cs="Arial"/>
        </w:rPr>
        <w:t xml:space="preserve">hereby </w:t>
      </w:r>
      <w:r w:rsidRPr="00C17691">
        <w:rPr>
          <w:rFonts w:cs="Arial"/>
        </w:rPr>
        <w:t>amend</w:t>
      </w:r>
      <w:r w:rsidR="00247B44">
        <w:rPr>
          <w:rFonts w:cs="Arial"/>
        </w:rPr>
        <w:t>s</w:t>
      </w:r>
      <w:r w:rsidRPr="00C17691">
        <w:rPr>
          <w:rFonts w:cs="Arial"/>
        </w:rPr>
        <w:t xml:space="preserve"> Publication 52</w:t>
      </w:r>
      <w:r w:rsidR="000D3A79">
        <w:rPr>
          <w:rFonts w:cs="Arial"/>
        </w:rPr>
        <w:t xml:space="preserve">, </w:t>
      </w:r>
      <w:r w:rsidR="000D3A79" w:rsidRPr="00C17691">
        <w:rPr>
          <w:rFonts w:cs="Arial"/>
          <w:bCs/>
          <w:i/>
        </w:rPr>
        <w:t>Hazardous, Restricted, and Perishable Mail</w:t>
      </w:r>
      <w:r w:rsidR="000D3A79">
        <w:rPr>
          <w:rFonts w:cs="Arial"/>
          <w:bCs/>
          <w:iCs/>
        </w:rPr>
        <w:t>,</w:t>
      </w:r>
      <w:r w:rsidRPr="00C17691">
        <w:rPr>
          <w:rFonts w:cs="Arial"/>
        </w:rPr>
        <w:t xml:space="preserve"> with the provisions </w:t>
      </w:r>
      <w:r w:rsidR="00E86A43">
        <w:rPr>
          <w:rFonts w:cs="Arial"/>
        </w:rPr>
        <w:t>set forth herein</w:t>
      </w:r>
      <w:r w:rsidRPr="00C17691">
        <w:rPr>
          <w:rFonts w:cs="Arial"/>
        </w:rPr>
        <w:t xml:space="preserve">. </w:t>
      </w:r>
      <w:r w:rsidR="007A54C0">
        <w:rPr>
          <w:rFonts w:cs="Arial"/>
        </w:rPr>
        <w:t xml:space="preserve">While not codified in Title 39, Code of Federal Regulations (“CFR”), </w:t>
      </w:r>
      <w:r w:rsidR="000D3A79">
        <w:rPr>
          <w:rFonts w:cs="Arial"/>
        </w:rPr>
        <w:t xml:space="preserve">Publication 52 is a regulation of the Postal Service, and changes to it may be published in the </w:t>
      </w:r>
      <w:r w:rsidR="000D3A79">
        <w:rPr>
          <w:rFonts w:cs="Arial"/>
          <w:i/>
          <w:iCs/>
        </w:rPr>
        <w:t>Federal Register</w:t>
      </w:r>
      <w:r w:rsidR="000D3A79">
        <w:rPr>
          <w:rFonts w:cs="Arial"/>
        </w:rPr>
        <w:t xml:space="preserve">. 39 CFR 211.2(a)(2). Moreover, Publication 52 is incorporated by reference into </w:t>
      </w:r>
      <w:r w:rsidR="000D3A79">
        <w:rPr>
          <w:rStyle w:val="Emphasis"/>
        </w:rPr>
        <w:t>Mailing Standards of the United States Postal Service,</w:t>
      </w:r>
      <w:r w:rsidR="000D3A79">
        <w:t xml:space="preserve"> Domestic Mail Manual (“DMM”) section 601.8.1, which is incorporated by reference, in turn, into the </w:t>
      </w:r>
      <w:r w:rsidR="000D3A79">
        <w:lastRenderedPageBreak/>
        <w:t>Code of Federal Regulations. 39 CFR 111.1, 111.3.</w:t>
      </w:r>
      <w:r w:rsidR="00F33C1B">
        <w:t xml:space="preserve"> </w:t>
      </w:r>
      <w:r w:rsidR="00F33C1B" w:rsidRPr="00195D50">
        <w:rPr>
          <w:rFonts w:cs="Arial"/>
        </w:rPr>
        <w:t xml:space="preserve">Publication 52 is </w:t>
      </w:r>
      <w:r w:rsidR="00F33C1B">
        <w:rPr>
          <w:rFonts w:cs="Arial"/>
        </w:rPr>
        <w:t xml:space="preserve">publicly </w:t>
      </w:r>
      <w:r w:rsidR="00F33C1B" w:rsidRPr="00195D50">
        <w:rPr>
          <w:rFonts w:cs="Arial"/>
        </w:rPr>
        <w:t>available, in a read</w:t>
      </w:r>
      <w:r w:rsidR="00F33C1B">
        <w:rPr>
          <w:rFonts w:cs="Arial"/>
        </w:rPr>
        <w:t>-</w:t>
      </w:r>
      <w:r w:rsidR="00F33C1B" w:rsidRPr="00195D50">
        <w:rPr>
          <w:rFonts w:cs="Arial"/>
        </w:rPr>
        <w:t>only</w:t>
      </w:r>
      <w:r w:rsidR="00F33C1B">
        <w:rPr>
          <w:rFonts w:cs="Arial"/>
        </w:rPr>
        <w:t xml:space="preserve"> </w:t>
      </w:r>
      <w:r w:rsidR="00F33C1B" w:rsidRPr="00195D50">
        <w:rPr>
          <w:rFonts w:cs="Arial"/>
        </w:rPr>
        <w:t>format, via the Postal Explorer</w:t>
      </w:r>
      <w:r w:rsidR="00F33C1B">
        <w:rPr>
          <w:rFonts w:cs="Arial"/>
        </w:rPr>
        <w:t xml:space="preserve">® </w:t>
      </w:r>
      <w:r w:rsidR="00F33C1B" w:rsidRPr="00195D50">
        <w:rPr>
          <w:rFonts w:cs="Arial"/>
        </w:rPr>
        <w:t xml:space="preserve">website at </w:t>
      </w:r>
      <w:r w:rsidR="00F33C1B" w:rsidRPr="00195D50">
        <w:rPr>
          <w:rFonts w:cs="Arial"/>
          <w:i/>
          <w:iCs/>
        </w:rPr>
        <w:t>http</w:t>
      </w:r>
      <w:r w:rsidR="006C7E92">
        <w:rPr>
          <w:rFonts w:cs="Arial"/>
          <w:i/>
          <w:iCs/>
        </w:rPr>
        <w:t>s</w:t>
      </w:r>
      <w:r w:rsidR="00F33C1B" w:rsidRPr="00195D50">
        <w:rPr>
          <w:rFonts w:cs="Arial"/>
          <w:i/>
          <w:iCs/>
        </w:rPr>
        <w:t>://pe.usps.com</w:t>
      </w:r>
      <w:r w:rsidR="00F33C1B" w:rsidRPr="00F33C1B">
        <w:rPr>
          <w:rFonts w:cs="Arial"/>
        </w:rPr>
        <w:t xml:space="preserve">. </w:t>
      </w:r>
      <w:r w:rsidR="00F33C1B" w:rsidRPr="00195D50">
        <w:rPr>
          <w:rFonts w:cs="Arial"/>
        </w:rPr>
        <w:t>In</w:t>
      </w:r>
      <w:r w:rsidR="00F33C1B">
        <w:rPr>
          <w:rFonts w:cs="Arial"/>
        </w:rPr>
        <w:t xml:space="preserve"> </w:t>
      </w:r>
      <w:r w:rsidR="00F33C1B" w:rsidRPr="00195D50">
        <w:rPr>
          <w:rFonts w:cs="Arial"/>
        </w:rPr>
        <w:t>addition, links to Postal Explorer are</w:t>
      </w:r>
      <w:r w:rsidR="00F33C1B">
        <w:rPr>
          <w:rFonts w:cs="Arial"/>
        </w:rPr>
        <w:t xml:space="preserve"> </w:t>
      </w:r>
      <w:r w:rsidR="00F33C1B" w:rsidRPr="00195D50">
        <w:rPr>
          <w:rFonts w:cs="Arial"/>
        </w:rPr>
        <w:t>provided on</w:t>
      </w:r>
      <w:r w:rsidR="00F33C1B">
        <w:rPr>
          <w:rFonts w:cs="Arial"/>
        </w:rPr>
        <w:t xml:space="preserve"> t</w:t>
      </w:r>
      <w:r w:rsidR="00F33C1B" w:rsidRPr="00C9032C">
        <w:t xml:space="preserve">he landing page of </w:t>
      </w:r>
      <w:r w:rsidR="00F33C1B" w:rsidRPr="00C9032C">
        <w:rPr>
          <w:i/>
          <w:iCs/>
        </w:rPr>
        <w:t xml:space="preserve">USPS.com, </w:t>
      </w:r>
      <w:r w:rsidR="00F33C1B" w:rsidRPr="00C9032C">
        <w:t>the Postal Service’s primary customer</w:t>
      </w:r>
      <w:r w:rsidR="00F33C1B" w:rsidRPr="00383FC8">
        <w:t xml:space="preserve">-facing </w:t>
      </w:r>
      <w:proofErr w:type="gramStart"/>
      <w:r w:rsidR="00F33C1B" w:rsidRPr="00383FC8">
        <w:t>website;</w:t>
      </w:r>
      <w:proofErr w:type="gramEnd"/>
      <w:r w:rsidR="00F33C1B" w:rsidRPr="00383FC8">
        <w:t xml:space="preserve"> and</w:t>
      </w:r>
      <w:r w:rsidR="00F33C1B">
        <w:t xml:space="preserve"> </w:t>
      </w:r>
      <w:r w:rsidR="00F33C1B" w:rsidRPr="00533D90">
        <w:rPr>
          <w:i/>
          <w:iCs/>
        </w:rPr>
        <w:t xml:space="preserve">Postal Pro, </w:t>
      </w:r>
      <w:r w:rsidR="00F33C1B" w:rsidRPr="00533D90">
        <w:t>an online informational source available</w:t>
      </w:r>
      <w:r w:rsidR="00F33C1B" w:rsidRPr="00773DDA">
        <w:t xml:space="preserve"> to</w:t>
      </w:r>
      <w:r w:rsidR="00F33C1B">
        <w:t xml:space="preserve"> postal customers</w:t>
      </w:r>
      <w:r w:rsidR="00F33C1B" w:rsidRPr="005C58FF">
        <w:t>.</w:t>
      </w:r>
    </w:p>
    <w:p w14:paraId="47017DE9" w14:textId="699230AF" w:rsidR="008821CA" w:rsidRDefault="00E6596D" w:rsidP="008821CA">
      <w:pPr>
        <w:shd w:val="clear" w:color="auto" w:fill="FFFFFF"/>
        <w:ind w:firstLine="720"/>
        <w:rPr>
          <w:rFonts w:cs="Arial"/>
          <w:bCs/>
        </w:rPr>
      </w:pPr>
      <w:r>
        <w:rPr>
          <w:rFonts w:cs="Arial"/>
          <w:bCs/>
        </w:rPr>
        <w:t>On February 19, 2021, the Postal Service published a notice of proposed rulemaking (</w:t>
      </w:r>
      <w:r w:rsidR="00590E88">
        <w:rPr>
          <w:rFonts w:cs="Arial"/>
          <w:bCs/>
        </w:rPr>
        <w:t>86</w:t>
      </w:r>
      <w:r w:rsidR="00A1217B">
        <w:rPr>
          <w:rFonts w:cs="Arial"/>
          <w:bCs/>
        </w:rPr>
        <w:t xml:space="preserve"> </w:t>
      </w:r>
      <w:r w:rsidR="007A54C0">
        <w:rPr>
          <w:rFonts w:cs="Arial"/>
          <w:bCs/>
        </w:rPr>
        <w:t>FR</w:t>
      </w:r>
      <w:r w:rsidR="00A1217B">
        <w:rPr>
          <w:rFonts w:cs="Arial"/>
          <w:bCs/>
        </w:rPr>
        <w:t xml:space="preserve"> </w:t>
      </w:r>
      <w:r w:rsidR="00590E88">
        <w:rPr>
          <w:rFonts w:cs="Arial"/>
          <w:bCs/>
        </w:rPr>
        <w:t xml:space="preserve">10218) to implement the </w:t>
      </w:r>
      <w:r w:rsidR="00590E88" w:rsidRPr="00C17691">
        <w:rPr>
          <w:rFonts w:cs="Arial"/>
          <w:bCs/>
        </w:rPr>
        <w:t>Preventing Online Sales of E-Cigarettes to Children Act (“</w:t>
      </w:r>
      <w:r w:rsidR="00590E88">
        <w:rPr>
          <w:rFonts w:cs="Arial"/>
          <w:bCs/>
        </w:rPr>
        <w:t>POSECCA</w:t>
      </w:r>
      <w:r w:rsidR="00590E88" w:rsidRPr="00C17691">
        <w:rPr>
          <w:rFonts w:cs="Arial"/>
          <w:bCs/>
        </w:rPr>
        <w:t>”)</w:t>
      </w:r>
      <w:r w:rsidR="00590E88">
        <w:rPr>
          <w:rFonts w:cs="Arial"/>
        </w:rPr>
        <w:t>,</w:t>
      </w:r>
      <w:r w:rsidR="004B387A">
        <w:rPr>
          <w:rFonts w:cs="Arial"/>
        </w:rPr>
        <w:t xml:space="preserve"> </w:t>
      </w:r>
      <w:r w:rsidR="00934456">
        <w:rPr>
          <w:rFonts w:cs="Arial"/>
        </w:rPr>
        <w:t xml:space="preserve">Pub. L. </w:t>
      </w:r>
      <w:r w:rsidR="00590E88" w:rsidRPr="00C17691">
        <w:rPr>
          <w:rFonts w:cs="Arial"/>
        </w:rPr>
        <w:t>116</w:t>
      </w:r>
      <w:r w:rsidR="00F04997">
        <w:rPr>
          <w:rFonts w:cs="Arial"/>
        </w:rPr>
        <w:t>–</w:t>
      </w:r>
      <w:r w:rsidR="00590E88" w:rsidRPr="00C17691">
        <w:rPr>
          <w:rFonts w:cs="Arial"/>
        </w:rPr>
        <w:t>160, div. FF, title VI (2020)</w:t>
      </w:r>
      <w:r w:rsidR="00590E88">
        <w:rPr>
          <w:rFonts w:cs="Arial"/>
        </w:rPr>
        <w:t xml:space="preserve">. </w:t>
      </w:r>
      <w:r w:rsidR="008821CA" w:rsidRPr="00C17691">
        <w:rPr>
          <w:rFonts w:cs="Arial"/>
          <w:bCs/>
        </w:rPr>
        <w:t xml:space="preserve">Section 602 of the </w:t>
      </w:r>
      <w:r w:rsidR="008821CA">
        <w:rPr>
          <w:rFonts w:cs="Arial"/>
          <w:bCs/>
        </w:rPr>
        <w:t>POSECCA</w:t>
      </w:r>
      <w:r w:rsidR="008821CA" w:rsidRPr="00C17691">
        <w:rPr>
          <w:rFonts w:cs="Arial"/>
          <w:bCs/>
        </w:rPr>
        <w:t xml:space="preserve"> adds “electronic nicotine delivery systems” (</w:t>
      </w:r>
      <w:r w:rsidR="00CB3D8A">
        <w:rPr>
          <w:rFonts w:cs="Arial"/>
          <w:bCs/>
        </w:rPr>
        <w:t>“</w:t>
      </w:r>
      <w:r w:rsidR="008821CA" w:rsidRPr="00C17691">
        <w:rPr>
          <w:rFonts w:cs="Arial"/>
          <w:bCs/>
        </w:rPr>
        <w:t>ENDS</w:t>
      </w:r>
      <w:r w:rsidR="00CB3D8A">
        <w:rPr>
          <w:rFonts w:cs="Arial"/>
          <w:bCs/>
        </w:rPr>
        <w:t>”</w:t>
      </w:r>
      <w:r w:rsidR="008821CA" w:rsidRPr="00C17691">
        <w:rPr>
          <w:rFonts w:cs="Arial"/>
          <w:bCs/>
        </w:rPr>
        <w:t xml:space="preserve">) to the definition of “cigarettes” subject to regulation under the Jenkins Act, </w:t>
      </w:r>
      <w:r w:rsidR="003C4DCF">
        <w:rPr>
          <w:rFonts w:cs="Arial"/>
          <w:bCs/>
        </w:rPr>
        <w:t xml:space="preserve">codified at </w:t>
      </w:r>
      <w:r w:rsidR="008821CA" w:rsidRPr="00C17691">
        <w:rPr>
          <w:rFonts w:cs="Arial"/>
          <w:bCs/>
        </w:rPr>
        <w:t xml:space="preserve">15 U.S.C. 375 </w:t>
      </w:r>
      <w:r w:rsidR="008821CA" w:rsidRPr="00AB37C0">
        <w:rPr>
          <w:rFonts w:cs="Arial"/>
          <w:bCs/>
        </w:rPr>
        <w:t>et seq.</w:t>
      </w:r>
      <w:r w:rsidR="008821CA" w:rsidRPr="00C17691">
        <w:rPr>
          <w:rFonts w:cs="Arial"/>
          <w:bCs/>
        </w:rPr>
        <w:t xml:space="preserve"> </w:t>
      </w:r>
      <w:r w:rsidR="00CB3D8A">
        <w:rPr>
          <w:rFonts w:cs="Arial"/>
          <w:bCs/>
        </w:rPr>
        <w:t xml:space="preserve">As a result, </w:t>
      </w:r>
      <w:r w:rsidR="008821CA" w:rsidRPr="00C17691">
        <w:rPr>
          <w:rFonts w:cs="Arial"/>
          <w:bCs/>
        </w:rPr>
        <w:t xml:space="preserve">ENDS </w:t>
      </w:r>
      <w:r w:rsidR="00CB3D8A">
        <w:rPr>
          <w:rFonts w:cs="Arial"/>
          <w:bCs/>
        </w:rPr>
        <w:t xml:space="preserve">are now </w:t>
      </w:r>
      <w:r w:rsidR="008821CA">
        <w:rPr>
          <w:rFonts w:cs="Arial"/>
          <w:bCs/>
        </w:rPr>
        <w:t xml:space="preserve">subject </w:t>
      </w:r>
      <w:r w:rsidR="00CB3D8A">
        <w:rPr>
          <w:rFonts w:cs="Arial"/>
          <w:bCs/>
        </w:rPr>
        <w:t xml:space="preserve">not only </w:t>
      </w:r>
      <w:r w:rsidR="008821CA">
        <w:rPr>
          <w:rFonts w:cs="Arial"/>
          <w:bCs/>
        </w:rPr>
        <w:t xml:space="preserve">to rules and restrictions governing remote sales under the Jenkins Act, </w:t>
      </w:r>
      <w:r w:rsidR="00CB3D8A">
        <w:rPr>
          <w:rFonts w:cs="Arial"/>
          <w:bCs/>
        </w:rPr>
        <w:t xml:space="preserve">but </w:t>
      </w:r>
      <w:r w:rsidR="008821CA" w:rsidRPr="00C17691">
        <w:rPr>
          <w:rFonts w:cs="Arial"/>
          <w:bCs/>
        </w:rPr>
        <w:t xml:space="preserve">also to </w:t>
      </w:r>
      <w:r w:rsidR="008821CA">
        <w:rPr>
          <w:rFonts w:cs="Arial"/>
          <w:bCs/>
        </w:rPr>
        <w:t xml:space="preserve">separate </w:t>
      </w:r>
      <w:r w:rsidR="008821CA" w:rsidRPr="00C17691">
        <w:rPr>
          <w:rFonts w:cs="Arial"/>
          <w:bCs/>
        </w:rPr>
        <w:t xml:space="preserve">restrictions and exceptions </w:t>
      </w:r>
      <w:r w:rsidR="008821CA">
        <w:rPr>
          <w:rFonts w:cs="Arial"/>
          <w:bCs/>
        </w:rPr>
        <w:t>for postal shipments</w:t>
      </w:r>
      <w:r w:rsidR="008821CA" w:rsidRPr="00C17691">
        <w:rPr>
          <w:rFonts w:cs="Arial"/>
          <w:bCs/>
        </w:rPr>
        <w:t xml:space="preserve">, which rely on the </w:t>
      </w:r>
      <w:r w:rsidR="008821CA">
        <w:rPr>
          <w:rFonts w:cs="Arial"/>
          <w:bCs/>
        </w:rPr>
        <w:t xml:space="preserve">same </w:t>
      </w:r>
      <w:r w:rsidR="008821CA" w:rsidRPr="00C17691">
        <w:rPr>
          <w:rFonts w:cs="Arial"/>
          <w:bCs/>
        </w:rPr>
        <w:t>definition</w:t>
      </w:r>
      <w:r w:rsidR="008821CA">
        <w:rPr>
          <w:rFonts w:cs="Arial"/>
          <w:bCs/>
        </w:rPr>
        <w:t>.</w:t>
      </w:r>
      <w:r w:rsidR="008821CA" w:rsidRPr="00C17691">
        <w:rPr>
          <w:rFonts w:cs="Arial"/>
          <w:bCs/>
        </w:rPr>
        <w:t xml:space="preserve"> 18 U.S.C. 1716E(a)(1). Section 603 of the </w:t>
      </w:r>
      <w:r w:rsidR="003D0107">
        <w:rPr>
          <w:rFonts w:cs="Arial"/>
          <w:bCs/>
        </w:rPr>
        <w:t xml:space="preserve">POSECCA </w:t>
      </w:r>
      <w:r w:rsidR="008821CA" w:rsidRPr="00C17691">
        <w:rPr>
          <w:rFonts w:cs="Arial"/>
          <w:bCs/>
        </w:rPr>
        <w:t xml:space="preserve">requires the Postal Service to promulgate implementing regulations and provides that the prohibition on mailing ENDS will apply immediately “on and after” the date of </w:t>
      </w:r>
      <w:r w:rsidR="008821CA">
        <w:rPr>
          <w:rFonts w:cs="Arial"/>
          <w:bCs/>
        </w:rPr>
        <w:t xml:space="preserve">this </w:t>
      </w:r>
      <w:r w:rsidR="008821CA" w:rsidRPr="00C17691">
        <w:rPr>
          <w:rFonts w:cs="Arial"/>
          <w:bCs/>
        </w:rPr>
        <w:t>final rule.</w:t>
      </w:r>
    </w:p>
    <w:p w14:paraId="21A2EB03" w14:textId="1446E1F8" w:rsidR="00FC7BE0" w:rsidRPr="00C17691" w:rsidRDefault="006645C0" w:rsidP="00FC7BE0">
      <w:pPr>
        <w:ind w:firstLine="720"/>
        <w:rPr>
          <w:rFonts w:cs="Arial"/>
          <w:bCs/>
        </w:rPr>
      </w:pPr>
      <w:r>
        <w:rPr>
          <w:rFonts w:cs="Arial"/>
          <w:bCs/>
        </w:rPr>
        <w:t xml:space="preserve">The statutory framework into which ENDS must now fit was established by the </w:t>
      </w:r>
      <w:r w:rsidR="00E42F48">
        <w:rPr>
          <w:rFonts w:cs="Arial"/>
          <w:bCs/>
        </w:rPr>
        <w:t>Prevent All Cigarette Trafficking Act of 20</w:t>
      </w:r>
      <w:r w:rsidR="00DB79FB">
        <w:rPr>
          <w:rFonts w:cs="Arial"/>
          <w:bCs/>
        </w:rPr>
        <w:t>09 (“PACT Act”), Pub. L. 111</w:t>
      </w:r>
      <w:r w:rsidR="00363B60">
        <w:rPr>
          <w:rFonts w:cs="Arial"/>
          <w:bCs/>
        </w:rPr>
        <w:t>–</w:t>
      </w:r>
      <w:r w:rsidR="00DB79FB">
        <w:rPr>
          <w:rFonts w:cs="Arial"/>
          <w:bCs/>
        </w:rPr>
        <w:t xml:space="preserve">154, </w:t>
      </w:r>
      <w:r w:rsidR="00363B60">
        <w:rPr>
          <w:rFonts w:cs="Arial"/>
          <w:bCs/>
        </w:rPr>
        <w:t>sec. </w:t>
      </w:r>
      <w:r w:rsidR="00777EC1">
        <w:rPr>
          <w:rFonts w:cs="Arial"/>
          <w:bCs/>
        </w:rPr>
        <w:t xml:space="preserve">3, </w:t>
      </w:r>
      <w:r w:rsidR="00DB79FB">
        <w:rPr>
          <w:rFonts w:cs="Arial"/>
          <w:bCs/>
        </w:rPr>
        <w:t xml:space="preserve">124 Stat. 1087, </w:t>
      </w:r>
      <w:r w:rsidR="00503B4D">
        <w:rPr>
          <w:rFonts w:cs="Arial"/>
          <w:bCs/>
        </w:rPr>
        <w:t>1103</w:t>
      </w:r>
      <w:r w:rsidR="00363B60">
        <w:rPr>
          <w:rFonts w:cs="Arial"/>
          <w:bCs/>
        </w:rPr>
        <w:t>–</w:t>
      </w:r>
      <w:r w:rsidR="00503B4D">
        <w:rPr>
          <w:rFonts w:cs="Arial"/>
          <w:bCs/>
        </w:rPr>
        <w:t xml:space="preserve">1109 (2010), </w:t>
      </w:r>
      <w:r w:rsidR="00777EC1" w:rsidRPr="005E6248">
        <w:rPr>
          <w:rFonts w:cs="Arial"/>
          <w:bCs/>
        </w:rPr>
        <w:t>codified at</w:t>
      </w:r>
      <w:r w:rsidR="00777EC1">
        <w:rPr>
          <w:rFonts w:cs="Arial"/>
          <w:bCs/>
        </w:rPr>
        <w:t xml:space="preserve"> 18 U.S.C. 1716E.</w:t>
      </w:r>
      <w:r w:rsidR="00424067">
        <w:rPr>
          <w:rFonts w:cs="Arial"/>
          <w:bCs/>
        </w:rPr>
        <w:t xml:space="preserve"> </w:t>
      </w:r>
      <w:r w:rsidR="00DD0D3B">
        <w:rPr>
          <w:rFonts w:cs="Arial"/>
          <w:bCs/>
        </w:rPr>
        <w:t xml:space="preserve">Briefly, </w:t>
      </w:r>
      <w:r w:rsidR="00081C10">
        <w:rPr>
          <w:rFonts w:cs="Arial"/>
          <w:bCs/>
        </w:rPr>
        <w:t>the PACT Act allows cigarettes and smokeless tobacco to be mailed only in the following circumstances</w:t>
      </w:r>
      <w:r w:rsidR="00DD0D3B">
        <w:rPr>
          <w:rFonts w:cs="Arial"/>
          <w:bCs/>
        </w:rPr>
        <w:t>:</w:t>
      </w:r>
    </w:p>
    <w:p w14:paraId="021E98E7" w14:textId="2646B3A4" w:rsidR="00FC7BE0" w:rsidRPr="00C17691" w:rsidRDefault="007B18DB" w:rsidP="00FE6779">
      <w:pPr>
        <w:ind w:firstLine="720"/>
        <w:rPr>
          <w:rFonts w:cs="Arial"/>
        </w:rPr>
      </w:pPr>
      <w:bookmarkStart w:id="3" w:name="OLE_LINK1"/>
      <w:bookmarkStart w:id="4" w:name="OLE_LINK2"/>
      <w:r w:rsidRPr="007B18DB">
        <w:rPr>
          <w:rFonts w:cs="Arial"/>
          <w:bCs/>
          <w:i/>
          <w:iCs/>
        </w:rPr>
        <w:lastRenderedPageBreak/>
        <w:t>Intra-Alaska and Intra-Hawaii Mailings</w:t>
      </w:r>
      <w:r w:rsidR="00FC7BE0" w:rsidRPr="00363B60">
        <w:rPr>
          <w:rFonts w:cs="Arial"/>
          <w:bCs/>
          <w:i/>
          <w:iCs/>
        </w:rPr>
        <w:t>:</w:t>
      </w:r>
      <w:r w:rsidR="00FC7BE0" w:rsidRPr="00C17691">
        <w:rPr>
          <w:rFonts w:cs="Arial"/>
        </w:rPr>
        <w:t xml:space="preserve"> intrastate shipments within Alaska or </w:t>
      </w:r>
      <w:proofErr w:type="gramStart"/>
      <w:r w:rsidR="00FC7BE0" w:rsidRPr="00C17691">
        <w:rPr>
          <w:rFonts w:cs="Arial"/>
        </w:rPr>
        <w:t>Hawaii;</w:t>
      </w:r>
      <w:proofErr w:type="gramEnd"/>
    </w:p>
    <w:p w14:paraId="6ADC7BFB" w14:textId="0A63D16F" w:rsidR="00FC7BE0" w:rsidRPr="00C17691" w:rsidRDefault="00FC7BE0" w:rsidP="00FE6779">
      <w:pPr>
        <w:ind w:firstLine="720"/>
        <w:rPr>
          <w:rFonts w:cs="Arial"/>
        </w:rPr>
      </w:pPr>
      <w:r w:rsidRPr="00363B60">
        <w:rPr>
          <w:rFonts w:cs="Arial"/>
          <w:bCs/>
          <w:i/>
          <w:iCs/>
        </w:rPr>
        <w:t xml:space="preserve">Business/Regulatory Purposes: </w:t>
      </w:r>
      <w:r w:rsidRPr="00C17691">
        <w:rPr>
          <w:rFonts w:cs="Arial"/>
        </w:rPr>
        <w:t>shipments between verified and authorized tobacco</w:t>
      </w:r>
      <w:r w:rsidR="00DD0D3B">
        <w:rPr>
          <w:rFonts w:cs="Arial"/>
        </w:rPr>
        <w:t>-</w:t>
      </w:r>
      <w:r w:rsidRPr="00C17691">
        <w:rPr>
          <w:rFonts w:cs="Arial"/>
        </w:rPr>
        <w:t xml:space="preserve">industry businesses for business purposes, or between such businesses and federal or state agencies for regulatory </w:t>
      </w:r>
      <w:proofErr w:type="gramStart"/>
      <w:r w:rsidRPr="00C17691">
        <w:rPr>
          <w:rFonts w:cs="Arial"/>
        </w:rPr>
        <w:t>purposes;</w:t>
      </w:r>
      <w:proofErr w:type="gramEnd"/>
    </w:p>
    <w:p w14:paraId="278D3084" w14:textId="16C6374E" w:rsidR="00FC7BE0" w:rsidRPr="00C17691" w:rsidRDefault="00FC7BE0" w:rsidP="00FE6779">
      <w:pPr>
        <w:ind w:firstLine="720"/>
        <w:rPr>
          <w:rFonts w:cs="Arial"/>
        </w:rPr>
      </w:pPr>
      <w:r w:rsidRPr="00363B60">
        <w:rPr>
          <w:rFonts w:cs="Arial"/>
          <w:bCs/>
          <w:i/>
          <w:iCs/>
        </w:rPr>
        <w:t>Certain Individuals:</w:t>
      </w:r>
      <w:r w:rsidRPr="00C17691">
        <w:rPr>
          <w:rFonts w:cs="Arial"/>
        </w:rPr>
        <w:t xml:space="preserve"> lightweight</w:t>
      </w:r>
      <w:r w:rsidR="003F3A49">
        <w:rPr>
          <w:rFonts w:cs="Arial"/>
        </w:rPr>
        <w:t>, noncommercial</w:t>
      </w:r>
      <w:r w:rsidRPr="00C17691">
        <w:rPr>
          <w:rFonts w:cs="Arial"/>
        </w:rPr>
        <w:t xml:space="preserve"> shipments </w:t>
      </w:r>
      <w:r w:rsidR="003F3A49">
        <w:rPr>
          <w:rFonts w:cs="Arial"/>
        </w:rPr>
        <w:t xml:space="preserve">by </w:t>
      </w:r>
      <w:r w:rsidRPr="00C17691">
        <w:rPr>
          <w:rFonts w:cs="Arial"/>
        </w:rPr>
        <w:t xml:space="preserve">adult individuals, limited to 10 </w:t>
      </w:r>
      <w:r w:rsidR="00585A7D">
        <w:rPr>
          <w:rFonts w:cs="Arial"/>
        </w:rPr>
        <w:t>shipments</w:t>
      </w:r>
      <w:r w:rsidRPr="00C17691">
        <w:rPr>
          <w:rFonts w:cs="Arial"/>
        </w:rPr>
        <w:t xml:space="preserve"> per 30-day </w:t>
      </w:r>
      <w:proofErr w:type="gramStart"/>
      <w:r w:rsidRPr="00C17691">
        <w:rPr>
          <w:rFonts w:cs="Arial"/>
        </w:rPr>
        <w:t>period;</w:t>
      </w:r>
      <w:proofErr w:type="gramEnd"/>
    </w:p>
    <w:p w14:paraId="6E8B0ABF" w14:textId="0501FFFC" w:rsidR="00FC7BE0" w:rsidRPr="00C17691" w:rsidRDefault="00FC7BE0" w:rsidP="00FE6779">
      <w:pPr>
        <w:ind w:firstLine="720"/>
        <w:rPr>
          <w:rFonts w:cs="Arial"/>
        </w:rPr>
      </w:pPr>
      <w:r w:rsidRPr="00363B60">
        <w:rPr>
          <w:rFonts w:cs="Arial"/>
          <w:bCs/>
          <w:i/>
          <w:iCs/>
        </w:rPr>
        <w:t xml:space="preserve">Consumer Testing: </w:t>
      </w:r>
      <w:r w:rsidRPr="00C17691">
        <w:rPr>
          <w:rFonts w:cs="Arial"/>
        </w:rPr>
        <w:t>limited shipments of cigarettes sent by verified and authorized manufacturers to adult smokers for consumer testing purposes; and</w:t>
      </w:r>
    </w:p>
    <w:p w14:paraId="67283693" w14:textId="2ACC078E" w:rsidR="00FC7BE0" w:rsidRPr="00C17691" w:rsidRDefault="00FC7BE0" w:rsidP="003C4794">
      <w:pPr>
        <w:ind w:firstLine="720"/>
        <w:rPr>
          <w:rFonts w:cs="Arial"/>
        </w:rPr>
      </w:pPr>
      <w:r w:rsidRPr="00363B60">
        <w:rPr>
          <w:rFonts w:cs="Arial"/>
          <w:bCs/>
          <w:i/>
          <w:iCs/>
        </w:rPr>
        <w:t xml:space="preserve">Public Health: </w:t>
      </w:r>
      <w:r w:rsidRPr="00C17691">
        <w:rPr>
          <w:rFonts w:cs="Arial"/>
        </w:rPr>
        <w:t>limited shipments</w:t>
      </w:r>
      <w:r w:rsidR="003F3A49">
        <w:rPr>
          <w:rFonts w:cs="Arial"/>
        </w:rPr>
        <w:t xml:space="preserve"> of cigarettes</w:t>
      </w:r>
      <w:r w:rsidRPr="00C17691">
        <w:rPr>
          <w:rFonts w:cs="Arial"/>
        </w:rPr>
        <w:t xml:space="preserve"> by federal agencies for public health purposes under similar rules applied to manufacturers conducting consumer testing.</w:t>
      </w:r>
    </w:p>
    <w:p w14:paraId="0CC2828B" w14:textId="25AA09C8" w:rsidR="00FC7BE0" w:rsidRPr="00C17691" w:rsidRDefault="00FC7BE0" w:rsidP="00FC7BE0">
      <w:pPr>
        <w:shd w:val="clear" w:color="auto" w:fill="FFFFFF"/>
        <w:rPr>
          <w:rFonts w:cs="Arial"/>
        </w:rPr>
      </w:pPr>
      <w:r w:rsidRPr="00C17691">
        <w:rPr>
          <w:rFonts w:cs="Arial"/>
          <w:bCs/>
        </w:rPr>
        <w:t>18 U.S.C. 1716E(b)(2)</w:t>
      </w:r>
      <w:proofErr w:type="gramStart"/>
      <w:r w:rsidR="00363B60">
        <w:rPr>
          <w:rFonts w:cs="Arial"/>
          <w:bCs/>
        </w:rPr>
        <w:t>–</w:t>
      </w:r>
      <w:r w:rsidRPr="00C17691">
        <w:rPr>
          <w:rFonts w:cs="Arial"/>
          <w:bCs/>
        </w:rPr>
        <w:t>(</w:t>
      </w:r>
      <w:proofErr w:type="gramEnd"/>
      <w:r w:rsidRPr="00C17691">
        <w:rPr>
          <w:rFonts w:cs="Arial"/>
          <w:bCs/>
        </w:rPr>
        <w:t>6).</w:t>
      </w:r>
      <w:bookmarkEnd w:id="3"/>
      <w:bookmarkEnd w:id="4"/>
      <w:r w:rsidRPr="00C17691">
        <w:rPr>
          <w:rFonts w:cs="Arial"/>
        </w:rPr>
        <w:t xml:space="preserve"> Outside of these exceptions, the Postal Service cannot accept or transmit any package that it knows, or has reasonable cause to believe, contains nonmailable smokeless tobacco or cigarettes. </w:t>
      </w:r>
      <w:r w:rsidRPr="00C17691">
        <w:rPr>
          <w:rFonts w:cs="Arial"/>
          <w:i/>
          <w:iCs/>
        </w:rPr>
        <w:t>Id.</w:t>
      </w:r>
      <w:r w:rsidRPr="00C17691">
        <w:rPr>
          <w:rFonts w:cs="Arial"/>
        </w:rPr>
        <w:t xml:space="preserve"> at (a)(1).</w:t>
      </w:r>
    </w:p>
    <w:p w14:paraId="7F787763" w14:textId="69DA9AF0" w:rsidR="00A07DD0" w:rsidRPr="00C17691" w:rsidRDefault="00A07DD0" w:rsidP="00A07DD0">
      <w:pPr>
        <w:shd w:val="clear" w:color="auto" w:fill="FFFFFF"/>
        <w:ind w:firstLine="720"/>
        <w:rPr>
          <w:rFonts w:cs="Arial"/>
        </w:rPr>
      </w:pPr>
      <w:r w:rsidRPr="00C17691">
        <w:rPr>
          <w:rFonts w:cs="Arial"/>
        </w:rPr>
        <w:t xml:space="preserve">Nonmailable cigarettes and smokeless tobacco deposited in the mail are subject to seizure and forfeiture. 18 U.S.C. 1716E(c). Senders of nonmailable cigarettes or smokeless tobacco are subject to criminal fines, imprisonment, and civil penalties, in addition to enforcement under other </w:t>
      </w:r>
      <w:r w:rsidR="00363B60">
        <w:rPr>
          <w:rFonts w:cs="Arial"/>
        </w:rPr>
        <w:t>F</w:t>
      </w:r>
      <w:r w:rsidRPr="00C17691">
        <w:rPr>
          <w:rFonts w:cs="Arial"/>
        </w:rPr>
        <w:t xml:space="preserve">ederal, </w:t>
      </w:r>
      <w:r w:rsidR="00363B60">
        <w:rPr>
          <w:rFonts w:cs="Arial"/>
        </w:rPr>
        <w:t>S</w:t>
      </w:r>
      <w:r w:rsidRPr="00C17691">
        <w:rPr>
          <w:rFonts w:cs="Arial"/>
        </w:rPr>
        <w:t>tate, local</w:t>
      </w:r>
      <w:r w:rsidR="00363B60">
        <w:rPr>
          <w:rFonts w:cs="Arial"/>
        </w:rPr>
        <w:t>, and Tribal</w:t>
      </w:r>
      <w:r w:rsidRPr="00C17691">
        <w:rPr>
          <w:rFonts w:cs="Arial"/>
        </w:rPr>
        <w:t xml:space="preserve"> laws. </w:t>
      </w:r>
      <w:r w:rsidRPr="00C17691">
        <w:rPr>
          <w:rFonts w:cs="Arial"/>
          <w:i/>
          <w:iCs/>
        </w:rPr>
        <w:t>Id.</w:t>
      </w:r>
      <w:r w:rsidRPr="00C17691">
        <w:rPr>
          <w:rFonts w:cs="Arial"/>
        </w:rPr>
        <w:t xml:space="preserve"> at (d), (e), (h). </w:t>
      </w:r>
    </w:p>
    <w:p w14:paraId="284AD5BB" w14:textId="49348E96" w:rsidR="00875DD9" w:rsidRDefault="00BB55BB" w:rsidP="00C17691">
      <w:pPr>
        <w:shd w:val="clear" w:color="auto" w:fill="FFFFFF"/>
        <w:ind w:firstLine="720"/>
        <w:rPr>
          <w:rFonts w:cs="Arial"/>
          <w:bCs/>
        </w:rPr>
      </w:pPr>
      <w:r>
        <w:rPr>
          <w:rFonts w:cs="Arial"/>
          <w:bCs/>
        </w:rPr>
        <w:t>In inviting public comment, t</w:t>
      </w:r>
      <w:r w:rsidR="005E2F70">
        <w:rPr>
          <w:rFonts w:cs="Arial"/>
          <w:bCs/>
        </w:rPr>
        <w:t xml:space="preserve">he notice of proposed rulemaking </w:t>
      </w:r>
      <w:r w:rsidR="000D4DA4">
        <w:rPr>
          <w:rFonts w:cs="Arial"/>
          <w:bCs/>
        </w:rPr>
        <w:t>highlighted certain topics on which comments would be especially helpful</w:t>
      </w:r>
      <w:r w:rsidR="005E2F70">
        <w:rPr>
          <w:rFonts w:cs="Arial"/>
          <w:bCs/>
        </w:rPr>
        <w:t xml:space="preserve">: the definition of ENDS, </w:t>
      </w:r>
      <w:r w:rsidR="00A913F1">
        <w:rPr>
          <w:rFonts w:cs="Arial"/>
          <w:bCs/>
        </w:rPr>
        <w:t xml:space="preserve">appropriate “catch-all” terminology, standards for determining mailability, </w:t>
      </w:r>
      <w:r w:rsidR="00A913F1">
        <w:rPr>
          <w:rFonts w:cs="Arial"/>
          <w:bCs/>
        </w:rPr>
        <w:lastRenderedPageBreak/>
        <w:t xml:space="preserve">and the </w:t>
      </w:r>
      <w:r w:rsidR="00DE1509">
        <w:rPr>
          <w:rFonts w:cs="Arial"/>
          <w:bCs/>
        </w:rPr>
        <w:t xml:space="preserve">potential </w:t>
      </w:r>
      <w:r w:rsidR="00A913F1">
        <w:rPr>
          <w:rFonts w:cs="Arial"/>
          <w:bCs/>
        </w:rPr>
        <w:t xml:space="preserve">applicability of </w:t>
      </w:r>
      <w:r w:rsidR="00DE1509">
        <w:rPr>
          <w:rFonts w:cs="Arial"/>
          <w:bCs/>
        </w:rPr>
        <w:t xml:space="preserve">the PACT Act’s </w:t>
      </w:r>
      <w:r w:rsidR="00A913F1">
        <w:rPr>
          <w:rFonts w:cs="Arial"/>
          <w:bCs/>
        </w:rPr>
        <w:t>exceptions</w:t>
      </w:r>
      <w:r w:rsidR="00DE1509">
        <w:rPr>
          <w:rFonts w:cs="Arial"/>
          <w:bCs/>
        </w:rPr>
        <w:t>, particularly the Consumer Testing and Public Health exceptions.</w:t>
      </w:r>
      <w:r w:rsidR="00F756B8">
        <w:rPr>
          <w:rFonts w:cs="Arial"/>
          <w:bCs/>
        </w:rPr>
        <w:t xml:space="preserve"> 86</w:t>
      </w:r>
      <w:r w:rsidR="00A1217B">
        <w:rPr>
          <w:rFonts w:cs="Arial"/>
          <w:bCs/>
        </w:rPr>
        <w:t xml:space="preserve"> </w:t>
      </w:r>
      <w:r w:rsidR="007A54C0">
        <w:rPr>
          <w:rFonts w:cs="Arial"/>
          <w:bCs/>
        </w:rPr>
        <w:t>FR</w:t>
      </w:r>
      <w:r w:rsidR="00A1217B">
        <w:rPr>
          <w:rFonts w:cs="Arial"/>
          <w:bCs/>
        </w:rPr>
        <w:t xml:space="preserve"> </w:t>
      </w:r>
      <w:r w:rsidR="00F756B8">
        <w:rPr>
          <w:rFonts w:cs="Arial"/>
          <w:bCs/>
        </w:rPr>
        <w:t>1021</w:t>
      </w:r>
      <w:r>
        <w:rPr>
          <w:rFonts w:cs="Arial"/>
          <w:bCs/>
        </w:rPr>
        <w:t>9</w:t>
      </w:r>
      <w:r w:rsidR="00A1217B">
        <w:rPr>
          <w:rFonts w:cs="Arial"/>
          <w:bCs/>
        </w:rPr>
        <w:t>–</w:t>
      </w:r>
      <w:r w:rsidR="00F756B8">
        <w:rPr>
          <w:rFonts w:cs="Arial"/>
          <w:bCs/>
        </w:rPr>
        <w:t>10220.</w:t>
      </w:r>
      <w:r w:rsidR="00DE1509">
        <w:rPr>
          <w:rFonts w:cs="Arial"/>
          <w:bCs/>
        </w:rPr>
        <w:t xml:space="preserve"> </w:t>
      </w:r>
      <w:r w:rsidR="009B6187">
        <w:rPr>
          <w:rFonts w:cs="Arial"/>
          <w:bCs/>
        </w:rPr>
        <w:t xml:space="preserve">We received more than 15,700 comments on these and other topics, </w:t>
      </w:r>
      <w:r w:rsidR="006B0C45">
        <w:rPr>
          <w:rFonts w:cs="Arial"/>
          <w:bCs/>
        </w:rPr>
        <w:t xml:space="preserve">most of which appear to be electronically generated form letters </w:t>
      </w:r>
      <w:r w:rsidR="00500FE1">
        <w:rPr>
          <w:rFonts w:cs="Arial"/>
          <w:bCs/>
        </w:rPr>
        <w:t xml:space="preserve">and </w:t>
      </w:r>
      <w:r w:rsidR="003677FC">
        <w:rPr>
          <w:rFonts w:cs="Arial"/>
          <w:bCs/>
        </w:rPr>
        <w:t xml:space="preserve">general </w:t>
      </w:r>
      <w:r w:rsidR="00500FE1">
        <w:rPr>
          <w:rFonts w:cs="Arial"/>
          <w:bCs/>
        </w:rPr>
        <w:t xml:space="preserve">expressions of </w:t>
      </w:r>
      <w:r w:rsidR="003677FC">
        <w:rPr>
          <w:rFonts w:cs="Arial"/>
          <w:bCs/>
        </w:rPr>
        <w:t xml:space="preserve">ENDS users’ dissatisfaction with </w:t>
      </w:r>
      <w:r w:rsidR="00500FE1">
        <w:rPr>
          <w:rFonts w:cs="Arial"/>
          <w:bCs/>
        </w:rPr>
        <w:t>the POSECCA</w:t>
      </w:r>
      <w:r w:rsidR="009B6187">
        <w:rPr>
          <w:rFonts w:cs="Arial"/>
          <w:bCs/>
        </w:rPr>
        <w:t>.</w:t>
      </w:r>
    </w:p>
    <w:p w14:paraId="1CAD869D" w14:textId="0A05B5A0" w:rsidR="00500FE1" w:rsidRDefault="007C28DF" w:rsidP="00C17691">
      <w:pPr>
        <w:shd w:val="clear" w:color="auto" w:fill="FFFFFF"/>
        <w:ind w:firstLine="720"/>
        <w:rPr>
          <w:rFonts w:cs="Arial"/>
          <w:bCs/>
        </w:rPr>
      </w:pPr>
      <w:r>
        <w:rPr>
          <w:rFonts w:cs="Arial"/>
          <w:bCs/>
        </w:rPr>
        <w:t xml:space="preserve">In considering the comments, and in view of Congress’s abrogation of the standard 30-day </w:t>
      </w:r>
      <w:r w:rsidR="00852042">
        <w:rPr>
          <w:rFonts w:cs="Arial"/>
          <w:bCs/>
        </w:rPr>
        <w:t>notice period for a final rule under the Administrative Procedure Act</w:t>
      </w:r>
      <w:r w:rsidR="00D404FE">
        <w:rPr>
          <w:rFonts w:cs="Arial"/>
          <w:bCs/>
        </w:rPr>
        <w:t xml:space="preserve"> (</w:t>
      </w:r>
      <w:r w:rsidR="0093425A">
        <w:rPr>
          <w:rFonts w:cs="Arial"/>
          <w:bCs/>
        </w:rPr>
        <w:t>“</w:t>
      </w:r>
      <w:r w:rsidR="00D404FE">
        <w:rPr>
          <w:rFonts w:cs="Arial"/>
          <w:bCs/>
        </w:rPr>
        <w:t>APA</w:t>
      </w:r>
      <w:r w:rsidR="0093425A">
        <w:rPr>
          <w:rFonts w:cs="Arial"/>
          <w:bCs/>
        </w:rPr>
        <w:t>”</w:t>
      </w:r>
      <w:r w:rsidR="00D404FE">
        <w:rPr>
          <w:rFonts w:cs="Arial"/>
          <w:bCs/>
        </w:rPr>
        <w:t>)</w:t>
      </w:r>
      <w:r w:rsidR="00852042">
        <w:rPr>
          <w:rFonts w:cs="Arial"/>
          <w:bCs/>
        </w:rPr>
        <w:t>,</w:t>
      </w:r>
      <w:r w:rsidR="00AE335B">
        <w:rPr>
          <w:rFonts w:cs="Arial"/>
          <w:bCs/>
        </w:rPr>
        <w:t xml:space="preserve"> </w:t>
      </w:r>
      <w:r w:rsidR="00AE335B" w:rsidRPr="00AF27CF">
        <w:rPr>
          <w:rFonts w:cs="Arial"/>
          <w:bCs/>
        </w:rPr>
        <w:t>see</w:t>
      </w:r>
      <w:r w:rsidR="00AE335B">
        <w:rPr>
          <w:rFonts w:cs="Arial"/>
          <w:bCs/>
          <w:i/>
          <w:iCs/>
        </w:rPr>
        <w:t xml:space="preserve"> id.</w:t>
      </w:r>
      <w:r w:rsidR="00AE335B">
        <w:rPr>
          <w:rFonts w:cs="Arial"/>
          <w:bCs/>
        </w:rPr>
        <w:t xml:space="preserve"> at 10220,</w:t>
      </w:r>
      <w:r w:rsidR="00852042">
        <w:rPr>
          <w:rFonts w:cs="Arial"/>
          <w:bCs/>
        </w:rPr>
        <w:t xml:space="preserve"> </w:t>
      </w:r>
      <w:r w:rsidR="00AE335B">
        <w:rPr>
          <w:rFonts w:cs="Arial"/>
          <w:bCs/>
        </w:rPr>
        <w:t>the Postal Service determined that additional guidance might assist the industry in preparing for the final rule.</w:t>
      </w:r>
      <w:r w:rsidR="006718AB">
        <w:rPr>
          <w:rFonts w:cs="Arial"/>
          <w:bCs/>
        </w:rPr>
        <w:t xml:space="preserve"> On April 19, 2021, the Postal Service published </w:t>
      </w:r>
      <w:r w:rsidR="00ED7ABD">
        <w:rPr>
          <w:rFonts w:cs="Arial"/>
          <w:bCs/>
        </w:rPr>
        <w:t>a guidance document</w:t>
      </w:r>
      <w:r w:rsidR="007E03B1">
        <w:rPr>
          <w:rFonts w:cs="Arial"/>
          <w:bCs/>
        </w:rPr>
        <w:t xml:space="preserve"> (“April 2021 Guidance”)</w:t>
      </w:r>
      <w:r w:rsidR="00ED7ABD">
        <w:rPr>
          <w:rFonts w:cs="Arial"/>
          <w:bCs/>
        </w:rPr>
        <w:t xml:space="preserve"> (86</w:t>
      </w:r>
      <w:r w:rsidR="00A1217B">
        <w:rPr>
          <w:rFonts w:cs="Arial"/>
          <w:bCs/>
        </w:rPr>
        <w:t xml:space="preserve"> </w:t>
      </w:r>
      <w:r w:rsidR="007A54C0">
        <w:rPr>
          <w:rFonts w:cs="Arial"/>
          <w:bCs/>
        </w:rPr>
        <w:t>FR</w:t>
      </w:r>
      <w:r w:rsidR="00A1217B">
        <w:rPr>
          <w:rFonts w:cs="Arial"/>
          <w:bCs/>
        </w:rPr>
        <w:t xml:space="preserve"> </w:t>
      </w:r>
      <w:r w:rsidR="00ED7ABD">
        <w:rPr>
          <w:rFonts w:cs="Arial"/>
          <w:bCs/>
        </w:rPr>
        <w:t xml:space="preserve">20287) </w:t>
      </w:r>
      <w:r w:rsidR="00D25F1A">
        <w:rPr>
          <w:rFonts w:cs="Arial"/>
          <w:bCs/>
        </w:rPr>
        <w:t xml:space="preserve">on two topics. First, the Postal Service </w:t>
      </w:r>
      <w:r w:rsidR="006152F3">
        <w:rPr>
          <w:rFonts w:cs="Arial"/>
          <w:bCs/>
        </w:rPr>
        <w:t xml:space="preserve">informed </w:t>
      </w:r>
      <w:r w:rsidR="00D71F76">
        <w:rPr>
          <w:rFonts w:cs="Arial"/>
          <w:bCs/>
        </w:rPr>
        <w:t xml:space="preserve">ENDS </w:t>
      </w:r>
      <w:r w:rsidR="006152F3">
        <w:rPr>
          <w:rFonts w:cs="Arial"/>
          <w:bCs/>
        </w:rPr>
        <w:t xml:space="preserve">industry participants that it would not accept exception applications until the final rule had been issued, but that </w:t>
      </w:r>
      <w:r w:rsidR="004F5268">
        <w:rPr>
          <w:rFonts w:cs="Arial"/>
          <w:bCs/>
        </w:rPr>
        <w:t xml:space="preserve">industry participants might instead use the intervening period to compile various types of documentation </w:t>
      </w:r>
      <w:r w:rsidR="00D71F76">
        <w:rPr>
          <w:rFonts w:cs="Arial"/>
          <w:bCs/>
        </w:rPr>
        <w:t>for submission with exception applications following the final rule (should such exceptions be made available). Second, the Postal Service reminded ENDS industry participants that</w:t>
      </w:r>
      <w:r w:rsidR="000176FE">
        <w:rPr>
          <w:rFonts w:cs="Arial"/>
          <w:bCs/>
        </w:rPr>
        <w:t xml:space="preserve">, regardless of the </w:t>
      </w:r>
      <w:r w:rsidR="007E03B1">
        <w:rPr>
          <w:rFonts w:cs="Arial"/>
          <w:bCs/>
        </w:rPr>
        <w:t xml:space="preserve">impending </w:t>
      </w:r>
      <w:r w:rsidR="000176FE">
        <w:rPr>
          <w:rFonts w:cs="Arial"/>
          <w:bCs/>
        </w:rPr>
        <w:t xml:space="preserve">applicability of PACT Act restrictions or exceptions, certain ENDS products </w:t>
      </w:r>
      <w:r w:rsidR="00101797">
        <w:rPr>
          <w:rFonts w:cs="Arial"/>
          <w:bCs/>
        </w:rPr>
        <w:t xml:space="preserve">are currently, and will remain, </w:t>
      </w:r>
      <w:r w:rsidR="00826AC1">
        <w:rPr>
          <w:rFonts w:cs="Arial"/>
          <w:bCs/>
        </w:rPr>
        <w:t>subject to other mailability prohibitions and restrictions (e.g., cannabis</w:t>
      </w:r>
      <w:r w:rsidR="00101797">
        <w:rPr>
          <w:rFonts w:cs="Arial"/>
          <w:bCs/>
        </w:rPr>
        <w:t xml:space="preserve"> and other controlled substances</w:t>
      </w:r>
      <w:r w:rsidR="00826AC1">
        <w:rPr>
          <w:rFonts w:cs="Arial"/>
          <w:bCs/>
        </w:rPr>
        <w:t>, drug paraphernalia</w:t>
      </w:r>
      <w:r w:rsidR="00E63BCA">
        <w:rPr>
          <w:rFonts w:cs="Arial"/>
          <w:bCs/>
        </w:rPr>
        <w:t>, lithium batteries</w:t>
      </w:r>
      <w:r w:rsidR="00826AC1">
        <w:rPr>
          <w:rFonts w:cs="Arial"/>
          <w:bCs/>
        </w:rPr>
        <w:t xml:space="preserve">, </w:t>
      </w:r>
      <w:r w:rsidR="007B3566">
        <w:rPr>
          <w:rFonts w:cs="Arial"/>
          <w:bCs/>
        </w:rPr>
        <w:t>liquids, certain chemicals found in ENDS liquids, and certain advertisements and promotional materials).</w:t>
      </w:r>
      <w:r w:rsidR="0017680C">
        <w:rPr>
          <w:rFonts w:cs="Arial"/>
          <w:bCs/>
        </w:rPr>
        <w:t xml:space="preserve"> Readers of this final rule are encouraged to review the April 2021 Guidance</w:t>
      </w:r>
      <w:r w:rsidR="001A6DB3">
        <w:rPr>
          <w:rFonts w:cs="Arial"/>
          <w:bCs/>
        </w:rPr>
        <w:t xml:space="preserve"> and Publication 52 </w:t>
      </w:r>
      <w:r w:rsidR="0068005F">
        <w:rPr>
          <w:rFonts w:cs="Arial"/>
          <w:bCs/>
        </w:rPr>
        <w:lastRenderedPageBreak/>
        <w:t xml:space="preserve">overall </w:t>
      </w:r>
      <w:r w:rsidR="001A6DB3">
        <w:rPr>
          <w:rFonts w:cs="Arial"/>
          <w:bCs/>
        </w:rPr>
        <w:t xml:space="preserve">for additional information on these prohibitions and restrictions, which can render </w:t>
      </w:r>
      <w:r w:rsidR="00B74BC2">
        <w:rPr>
          <w:rFonts w:cs="Arial"/>
          <w:bCs/>
        </w:rPr>
        <w:t>even a PACT-Act-exempt item nonmailable.</w:t>
      </w:r>
    </w:p>
    <w:p w14:paraId="3D19DF47" w14:textId="352BC686" w:rsidR="00927668" w:rsidRPr="006F5D98" w:rsidRDefault="008708FA" w:rsidP="00FE6779">
      <w:pPr>
        <w:rPr>
          <w:bCs/>
        </w:rPr>
      </w:pPr>
      <w:bookmarkStart w:id="5" w:name="_Toc79569793"/>
      <w:r w:rsidRPr="00FE6779">
        <w:rPr>
          <w:b/>
          <w:bCs/>
        </w:rPr>
        <w:t>II.</w:t>
      </w:r>
      <w:r w:rsidRPr="00FE6779">
        <w:rPr>
          <w:b/>
          <w:bCs/>
        </w:rPr>
        <w:tab/>
      </w:r>
      <w:r w:rsidR="00022921" w:rsidRPr="00FE6779">
        <w:rPr>
          <w:b/>
          <w:bCs/>
        </w:rPr>
        <w:t>Summary of Final Rule</w:t>
      </w:r>
      <w:bookmarkEnd w:id="5"/>
    </w:p>
    <w:p w14:paraId="679F64A0" w14:textId="66F7DCC9" w:rsidR="00B74BC2" w:rsidRDefault="00022921" w:rsidP="00C17691">
      <w:pPr>
        <w:shd w:val="clear" w:color="auto" w:fill="FFFFFF"/>
        <w:ind w:firstLine="720"/>
        <w:rPr>
          <w:rFonts w:cs="Arial"/>
          <w:bCs/>
        </w:rPr>
      </w:pPr>
      <w:r>
        <w:rPr>
          <w:rFonts w:cs="Arial"/>
          <w:bCs/>
        </w:rPr>
        <w:t xml:space="preserve">ENDS products are </w:t>
      </w:r>
      <w:r w:rsidR="009D4058">
        <w:rPr>
          <w:rFonts w:cs="Arial"/>
          <w:bCs/>
        </w:rPr>
        <w:t xml:space="preserve">generally nonmailable, except as authorized by </w:t>
      </w:r>
      <w:r w:rsidR="00EB66B6">
        <w:rPr>
          <w:rFonts w:cs="Arial"/>
          <w:bCs/>
        </w:rPr>
        <w:t>an exception</w:t>
      </w:r>
      <w:r w:rsidR="00BD47DD">
        <w:rPr>
          <w:rFonts w:cs="Arial"/>
          <w:bCs/>
        </w:rPr>
        <w:t xml:space="preserve">, </w:t>
      </w:r>
      <w:r w:rsidR="00EB66B6">
        <w:rPr>
          <w:rFonts w:cs="Arial"/>
          <w:bCs/>
        </w:rPr>
        <w:t xml:space="preserve">and then only if all </w:t>
      </w:r>
      <w:r w:rsidR="00BD47DD">
        <w:rPr>
          <w:rFonts w:cs="Arial"/>
          <w:bCs/>
        </w:rPr>
        <w:t>PACT-Act-related and</w:t>
      </w:r>
      <w:r w:rsidR="00EB66B6">
        <w:rPr>
          <w:rFonts w:cs="Arial"/>
          <w:bCs/>
        </w:rPr>
        <w:t xml:space="preserve"> non-PACT-Act-related conditions of mailability are met.</w:t>
      </w:r>
      <w:r w:rsidR="00CC66D9">
        <w:rPr>
          <w:rFonts w:cs="Arial"/>
          <w:bCs/>
        </w:rPr>
        <w:t xml:space="preserve"> Congress did not grant the Postal Service authority to </w:t>
      </w:r>
      <w:r w:rsidR="004A2CD3">
        <w:rPr>
          <w:rFonts w:cs="Arial"/>
          <w:bCs/>
        </w:rPr>
        <w:t xml:space="preserve">make policy decisions to </w:t>
      </w:r>
      <w:r w:rsidR="00CC66D9">
        <w:rPr>
          <w:rFonts w:cs="Arial"/>
          <w:bCs/>
        </w:rPr>
        <w:t xml:space="preserve">waive </w:t>
      </w:r>
      <w:r w:rsidR="004A2CD3">
        <w:rPr>
          <w:rFonts w:cs="Arial"/>
          <w:bCs/>
        </w:rPr>
        <w:t xml:space="preserve">or defer </w:t>
      </w:r>
      <w:r w:rsidR="00CC66D9">
        <w:rPr>
          <w:rFonts w:cs="Arial"/>
          <w:bCs/>
        </w:rPr>
        <w:t xml:space="preserve">the operation of the POSECCA, to create new </w:t>
      </w:r>
      <w:r w:rsidR="004A2CD3">
        <w:rPr>
          <w:rFonts w:cs="Arial"/>
          <w:bCs/>
        </w:rPr>
        <w:t xml:space="preserve">PACT Act exceptions, or to expand, restrict, or modify the </w:t>
      </w:r>
      <w:r w:rsidR="00077F3D">
        <w:rPr>
          <w:rFonts w:cs="Arial"/>
          <w:bCs/>
        </w:rPr>
        <w:t xml:space="preserve">scope </w:t>
      </w:r>
      <w:r w:rsidR="004A2CD3">
        <w:rPr>
          <w:rFonts w:cs="Arial"/>
          <w:bCs/>
        </w:rPr>
        <w:t>of existing exceptions</w:t>
      </w:r>
      <w:r w:rsidR="00281971">
        <w:rPr>
          <w:rFonts w:cs="Arial"/>
          <w:bCs/>
        </w:rPr>
        <w:t xml:space="preserve">, beyond </w:t>
      </w:r>
      <w:r w:rsidR="00653109">
        <w:rPr>
          <w:rFonts w:cs="Arial"/>
          <w:bCs/>
        </w:rPr>
        <w:t xml:space="preserve">the </w:t>
      </w:r>
      <w:r w:rsidR="00281971">
        <w:rPr>
          <w:rFonts w:cs="Arial"/>
          <w:bCs/>
        </w:rPr>
        <w:t>reasonable application of the conditions enumerated in the PACT Act</w:t>
      </w:r>
      <w:r w:rsidR="004A2CD3">
        <w:rPr>
          <w:rFonts w:cs="Arial"/>
          <w:bCs/>
        </w:rPr>
        <w:t>.</w:t>
      </w:r>
    </w:p>
    <w:p w14:paraId="175078B4" w14:textId="73DD4609" w:rsidR="00B74BC2" w:rsidRDefault="0053663D" w:rsidP="00C17691">
      <w:pPr>
        <w:shd w:val="clear" w:color="auto" w:fill="FFFFFF"/>
        <w:ind w:firstLine="720"/>
        <w:rPr>
          <w:rFonts w:cs="Arial"/>
          <w:bCs/>
        </w:rPr>
      </w:pPr>
      <w:r w:rsidRPr="0053663D">
        <w:rPr>
          <w:rFonts w:cs="Arial"/>
          <w:bCs/>
        </w:rPr>
        <w:t xml:space="preserve">ENDS </w:t>
      </w:r>
      <w:r>
        <w:rPr>
          <w:rFonts w:cs="Arial"/>
          <w:bCs/>
        </w:rPr>
        <w:t>products comprise (1) </w:t>
      </w:r>
      <w:r w:rsidRPr="0053663D">
        <w:rPr>
          <w:rFonts w:cs="Arial"/>
          <w:bCs/>
        </w:rPr>
        <w:t>any electronic device that, through an aerosolized solution, delivers nicotine, flavor, or any other substance to the user inhaling from the device</w:t>
      </w:r>
      <w:r>
        <w:rPr>
          <w:rFonts w:cs="Arial"/>
          <w:bCs/>
        </w:rPr>
        <w:t xml:space="preserve">; </w:t>
      </w:r>
      <w:r w:rsidR="00AE2B18">
        <w:rPr>
          <w:rFonts w:cs="Arial"/>
          <w:bCs/>
        </w:rPr>
        <w:t xml:space="preserve">and </w:t>
      </w:r>
      <w:r>
        <w:rPr>
          <w:rFonts w:cs="Arial"/>
          <w:bCs/>
        </w:rPr>
        <w:t>(2) </w:t>
      </w:r>
      <w:r w:rsidR="00AE2B18" w:rsidRPr="00AE2B18">
        <w:rPr>
          <w:rFonts w:cs="Arial"/>
          <w:bCs/>
        </w:rPr>
        <w:t>any component, liquid, part, or accessory of an ENDS, regardless of whether sold separately from the device</w:t>
      </w:r>
      <w:r w:rsidR="00AE2B18">
        <w:rPr>
          <w:rFonts w:cs="Arial"/>
          <w:bCs/>
        </w:rPr>
        <w:t xml:space="preserve">. </w:t>
      </w:r>
      <w:r w:rsidR="00BD47DD">
        <w:rPr>
          <w:rFonts w:cs="Arial"/>
          <w:bCs/>
        </w:rPr>
        <w:t xml:space="preserve">This statutory definition resides in </w:t>
      </w:r>
      <w:r w:rsidR="0051458D">
        <w:rPr>
          <w:rFonts w:cs="Arial"/>
          <w:bCs/>
        </w:rPr>
        <w:t xml:space="preserve">the Jenkins Act, </w:t>
      </w:r>
      <w:r w:rsidR="00BD47DD">
        <w:rPr>
          <w:rFonts w:cs="Arial"/>
          <w:bCs/>
        </w:rPr>
        <w:t xml:space="preserve">which </w:t>
      </w:r>
      <w:r w:rsidR="0051458D">
        <w:rPr>
          <w:rFonts w:cs="Arial"/>
          <w:bCs/>
        </w:rPr>
        <w:t>is administered by the Bureau of Alcohol, Tobacco, Firearms, and Explosives</w:t>
      </w:r>
      <w:r w:rsidR="003B106C">
        <w:rPr>
          <w:rFonts w:cs="Arial"/>
          <w:bCs/>
        </w:rPr>
        <w:t xml:space="preserve"> (</w:t>
      </w:r>
      <w:r w:rsidR="00EA533C">
        <w:rPr>
          <w:rFonts w:cs="Arial"/>
          <w:bCs/>
        </w:rPr>
        <w:t>“</w:t>
      </w:r>
      <w:r w:rsidR="00EA3D05">
        <w:rPr>
          <w:rFonts w:cs="Arial"/>
          <w:bCs/>
        </w:rPr>
        <w:t>ATF</w:t>
      </w:r>
      <w:r w:rsidR="00EA533C">
        <w:rPr>
          <w:rFonts w:cs="Arial"/>
          <w:bCs/>
        </w:rPr>
        <w:t>”</w:t>
      </w:r>
      <w:r w:rsidR="003B106C">
        <w:rPr>
          <w:rFonts w:cs="Arial"/>
          <w:bCs/>
        </w:rPr>
        <w:t>)</w:t>
      </w:r>
      <w:r w:rsidR="0051458D">
        <w:rPr>
          <w:rFonts w:cs="Arial"/>
          <w:bCs/>
        </w:rPr>
        <w:t xml:space="preserve">, and inquiries about </w:t>
      </w:r>
      <w:r w:rsidR="003B106C">
        <w:rPr>
          <w:rFonts w:cs="Arial"/>
          <w:bCs/>
        </w:rPr>
        <w:t xml:space="preserve">whether specific products are covered should be directed to </w:t>
      </w:r>
      <w:r w:rsidR="00EA3D05">
        <w:rPr>
          <w:rFonts w:cs="Arial"/>
          <w:bCs/>
        </w:rPr>
        <w:t>ATF</w:t>
      </w:r>
      <w:r w:rsidR="003B106C">
        <w:rPr>
          <w:rFonts w:cs="Arial"/>
          <w:bCs/>
        </w:rPr>
        <w:t xml:space="preserve">. Provisionally, however, </w:t>
      </w:r>
      <w:r w:rsidR="00AF7862">
        <w:rPr>
          <w:rFonts w:cs="Arial"/>
          <w:bCs/>
        </w:rPr>
        <w:t xml:space="preserve">certain </w:t>
      </w:r>
      <w:r w:rsidR="00A407A0">
        <w:rPr>
          <w:rFonts w:cs="Arial"/>
          <w:bCs/>
        </w:rPr>
        <w:t xml:space="preserve">aspects of </w:t>
      </w:r>
      <w:r w:rsidR="00AF7862">
        <w:rPr>
          <w:rFonts w:cs="Arial"/>
          <w:bCs/>
        </w:rPr>
        <w:t>the definition are apparent</w:t>
      </w:r>
      <w:r w:rsidR="008A3803">
        <w:rPr>
          <w:rFonts w:cs="Arial"/>
          <w:bCs/>
        </w:rPr>
        <w:t xml:space="preserve"> from the plain statutory language</w:t>
      </w:r>
      <w:r w:rsidR="00AF7862">
        <w:rPr>
          <w:rFonts w:cs="Arial"/>
          <w:bCs/>
        </w:rPr>
        <w:t xml:space="preserve">, such as that a user must inhale from the device and that </w:t>
      </w:r>
      <w:r w:rsidR="00C72D19">
        <w:rPr>
          <w:rFonts w:cs="Arial"/>
          <w:bCs/>
        </w:rPr>
        <w:t xml:space="preserve">a covered ENDS product must be, or be capable of use with, a liquid solution. At the same time, </w:t>
      </w:r>
      <w:r w:rsidR="003A657D">
        <w:rPr>
          <w:rFonts w:cs="Arial"/>
          <w:bCs/>
        </w:rPr>
        <w:t xml:space="preserve">Congress expressly provided that covered ENDS products extend beyond nicotine-related use, as relevant </w:t>
      </w:r>
      <w:r w:rsidR="00BD47DD">
        <w:rPr>
          <w:rFonts w:cs="Arial"/>
          <w:bCs/>
        </w:rPr>
        <w:t>products</w:t>
      </w:r>
      <w:r w:rsidR="003A657D">
        <w:rPr>
          <w:rFonts w:cs="Arial"/>
          <w:bCs/>
        </w:rPr>
        <w:t xml:space="preserve"> may deliver “nicotine, flavor, or any other substance.”</w:t>
      </w:r>
      <w:r w:rsidR="00F4689B">
        <w:rPr>
          <w:rFonts w:cs="Arial"/>
          <w:bCs/>
        </w:rPr>
        <w:t xml:space="preserve"> </w:t>
      </w:r>
    </w:p>
    <w:p w14:paraId="02CEB49B" w14:textId="535CC1C2" w:rsidR="00634FF7" w:rsidRDefault="000A1340" w:rsidP="00C17691">
      <w:pPr>
        <w:shd w:val="clear" w:color="auto" w:fill="FFFFFF"/>
        <w:ind w:firstLine="720"/>
      </w:pPr>
      <w:r>
        <w:rPr>
          <w:rFonts w:cs="Arial"/>
          <w:bCs/>
        </w:rPr>
        <w:lastRenderedPageBreak/>
        <w:t>T</w:t>
      </w:r>
      <w:r w:rsidR="00634FF7">
        <w:rPr>
          <w:rFonts w:cs="Arial"/>
          <w:bCs/>
        </w:rPr>
        <w:t xml:space="preserve">he POSECCA excludes from the mailing ban any ENDS product that is </w:t>
      </w:r>
      <w:r>
        <w:t xml:space="preserve">approved by the </w:t>
      </w:r>
      <w:r w:rsidR="004D104E">
        <w:t xml:space="preserve">U.S. </w:t>
      </w:r>
      <w:r>
        <w:t>Food and Drug Administration (</w:t>
      </w:r>
      <w:r w:rsidR="0093425A">
        <w:t>“</w:t>
      </w:r>
      <w:r>
        <w:t>FDA</w:t>
      </w:r>
      <w:r w:rsidR="0093425A">
        <w:t>”</w:t>
      </w:r>
      <w:r>
        <w:t xml:space="preserve">) for sale as tobacco cessation products or for other therapeutic purposes and marketed and sold solely for such purposes. At this time, the FDA has not approved any such devices or drugs. </w:t>
      </w:r>
    </w:p>
    <w:p w14:paraId="796BD68E" w14:textId="722D3F7A" w:rsidR="00960033" w:rsidRDefault="007947DE" w:rsidP="00C17691">
      <w:pPr>
        <w:shd w:val="clear" w:color="auto" w:fill="FFFFFF"/>
        <w:ind w:firstLine="720"/>
        <w:rPr>
          <w:rFonts w:cs="Arial"/>
          <w:bCs/>
        </w:rPr>
      </w:pPr>
      <w:r>
        <w:rPr>
          <w:rFonts w:cs="Arial"/>
          <w:bCs/>
        </w:rPr>
        <w:t>T</w:t>
      </w:r>
      <w:r w:rsidR="00077F3D">
        <w:rPr>
          <w:rFonts w:cs="Arial"/>
          <w:bCs/>
        </w:rPr>
        <w:t>he</w:t>
      </w:r>
      <w:r>
        <w:rPr>
          <w:rFonts w:cs="Arial"/>
          <w:bCs/>
        </w:rPr>
        <w:t xml:space="preserve"> statutory parameters for the</w:t>
      </w:r>
      <w:r w:rsidR="00077F3D">
        <w:rPr>
          <w:rFonts w:cs="Arial"/>
          <w:bCs/>
        </w:rPr>
        <w:t xml:space="preserve"> </w:t>
      </w:r>
      <w:r w:rsidR="007B18DB" w:rsidRPr="007B18DB">
        <w:rPr>
          <w:rFonts w:cs="Arial"/>
          <w:bCs/>
        </w:rPr>
        <w:t>Intra-Alaska</w:t>
      </w:r>
      <w:r w:rsidR="007B18DB">
        <w:rPr>
          <w:rFonts w:cs="Arial"/>
          <w:bCs/>
        </w:rPr>
        <w:t>/</w:t>
      </w:r>
      <w:r w:rsidR="007B18DB" w:rsidRPr="007B18DB">
        <w:rPr>
          <w:rFonts w:cs="Arial"/>
          <w:bCs/>
        </w:rPr>
        <w:t>Intra-Hawaii</w:t>
      </w:r>
      <w:r w:rsidR="00077F3D">
        <w:rPr>
          <w:rFonts w:cs="Arial"/>
          <w:bCs/>
        </w:rPr>
        <w:t xml:space="preserve">, Business/Regulatory Purposes, and Certain Individuals exceptions are compatible with </w:t>
      </w:r>
      <w:r>
        <w:rPr>
          <w:rFonts w:cs="Arial"/>
          <w:bCs/>
        </w:rPr>
        <w:t xml:space="preserve">and administrable </w:t>
      </w:r>
      <w:r w:rsidR="00742FBD">
        <w:rPr>
          <w:rFonts w:cs="Arial"/>
          <w:bCs/>
        </w:rPr>
        <w:t xml:space="preserve">for </w:t>
      </w:r>
      <w:r>
        <w:rPr>
          <w:rFonts w:cs="Arial"/>
          <w:bCs/>
        </w:rPr>
        <w:t>ENDS products</w:t>
      </w:r>
      <w:r w:rsidR="00742FBD">
        <w:rPr>
          <w:rFonts w:cs="Arial"/>
          <w:bCs/>
        </w:rPr>
        <w:t>, and so they will be made available for such products.</w:t>
      </w:r>
    </w:p>
    <w:p w14:paraId="60AD4988" w14:textId="265CE4C9" w:rsidR="002D2A89" w:rsidRDefault="00E07093" w:rsidP="00C17691">
      <w:pPr>
        <w:shd w:val="clear" w:color="auto" w:fill="FFFFFF"/>
        <w:ind w:firstLine="720"/>
        <w:rPr>
          <w:rFonts w:cs="Arial"/>
          <w:bCs/>
        </w:rPr>
      </w:pPr>
      <w:r>
        <w:rPr>
          <w:rFonts w:cs="Arial"/>
          <w:bCs/>
        </w:rPr>
        <w:t xml:space="preserve">The preexisting centralized application process for the Business/Regulatory Purposes exception will be extended to ENDS products, albeit with certain modifications to </w:t>
      </w:r>
      <w:r w:rsidR="006031F1">
        <w:rPr>
          <w:rFonts w:cs="Arial"/>
          <w:bCs/>
        </w:rPr>
        <w:t xml:space="preserve">improve administration. Other, </w:t>
      </w:r>
      <w:proofErr w:type="gramStart"/>
      <w:r w:rsidR="006031F1">
        <w:rPr>
          <w:rFonts w:cs="Arial"/>
          <w:bCs/>
        </w:rPr>
        <w:t>statutorily-derived</w:t>
      </w:r>
      <w:proofErr w:type="gramEnd"/>
      <w:r w:rsidR="006031F1">
        <w:rPr>
          <w:rFonts w:cs="Arial"/>
          <w:bCs/>
        </w:rPr>
        <w:t xml:space="preserve"> requirements relating to acceptance and delivery will apply to ENDS products </w:t>
      </w:r>
      <w:r w:rsidR="00763666">
        <w:rPr>
          <w:rFonts w:cs="Arial"/>
          <w:bCs/>
        </w:rPr>
        <w:t xml:space="preserve">in like manner to cigarettes and smokeless tobacco. For example, approved </w:t>
      </w:r>
      <w:r w:rsidR="00370691">
        <w:rPr>
          <w:rFonts w:cs="Arial"/>
          <w:bCs/>
        </w:rPr>
        <w:t xml:space="preserve">shippers of Business/Regulatory Purposes mailings </w:t>
      </w:r>
      <w:r w:rsidR="00763666">
        <w:rPr>
          <w:rFonts w:cs="Arial"/>
          <w:bCs/>
        </w:rPr>
        <w:t xml:space="preserve">must use </w:t>
      </w:r>
      <w:r w:rsidR="00370691">
        <w:rPr>
          <w:rFonts w:cs="Arial"/>
          <w:bCs/>
        </w:rPr>
        <w:t>specified product combinations that allow for age</w:t>
      </w:r>
      <w:r w:rsidR="00B02BCF">
        <w:rPr>
          <w:rFonts w:cs="Arial"/>
          <w:bCs/>
        </w:rPr>
        <w:t xml:space="preserve"> and identity</w:t>
      </w:r>
      <w:r w:rsidR="00370691">
        <w:rPr>
          <w:rFonts w:cs="Arial"/>
          <w:bCs/>
        </w:rPr>
        <w:t xml:space="preserve"> verification at delivery (e.g., Priority Mail with Adult Signature</w:t>
      </w:r>
      <w:r w:rsidR="00B86036">
        <w:rPr>
          <w:rFonts w:cs="Arial"/>
          <w:bCs/>
        </w:rPr>
        <w:t xml:space="preserve"> service</w:t>
      </w:r>
      <w:r w:rsidR="00370691">
        <w:rPr>
          <w:rFonts w:cs="Arial"/>
          <w:bCs/>
        </w:rPr>
        <w:t xml:space="preserve">) and must tender items </w:t>
      </w:r>
      <w:r w:rsidR="00E801A5">
        <w:rPr>
          <w:rFonts w:cs="Arial"/>
          <w:bCs/>
        </w:rPr>
        <w:t>in a face-to-face transaction either at a Postal Service retail office or at a Postal Service business mail acceptance location.</w:t>
      </w:r>
      <w:r w:rsidR="00AC4990">
        <w:rPr>
          <w:rFonts w:cs="Arial"/>
          <w:bCs/>
        </w:rPr>
        <w:t xml:space="preserve"> </w:t>
      </w:r>
      <w:r w:rsidR="006019C8">
        <w:rPr>
          <w:rFonts w:cs="Arial"/>
          <w:bCs/>
        </w:rPr>
        <w:t>For clari</w:t>
      </w:r>
      <w:r w:rsidR="007175B2">
        <w:rPr>
          <w:rFonts w:cs="Arial"/>
          <w:bCs/>
        </w:rPr>
        <w:t>t</w:t>
      </w:r>
      <w:r w:rsidR="006019C8">
        <w:rPr>
          <w:rFonts w:cs="Arial"/>
          <w:bCs/>
        </w:rPr>
        <w:t xml:space="preserve">y, product combinations that include Adult Signature </w:t>
      </w:r>
      <w:r w:rsidR="00B86036">
        <w:rPr>
          <w:rFonts w:cs="Arial"/>
          <w:bCs/>
        </w:rPr>
        <w:t xml:space="preserve">service </w:t>
      </w:r>
      <w:r w:rsidR="000F11E1">
        <w:rPr>
          <w:rFonts w:cs="Arial"/>
          <w:bCs/>
        </w:rPr>
        <w:t>can receive normal carrier delivery</w:t>
      </w:r>
      <w:r w:rsidR="00E4402D">
        <w:rPr>
          <w:rFonts w:cs="Arial"/>
          <w:bCs/>
        </w:rPr>
        <w:t>, subject to identity and age verification</w:t>
      </w:r>
      <w:r w:rsidR="000F11E1">
        <w:rPr>
          <w:rFonts w:cs="Arial"/>
          <w:bCs/>
        </w:rPr>
        <w:t>.</w:t>
      </w:r>
    </w:p>
    <w:p w14:paraId="28E072FF" w14:textId="5F401617" w:rsidR="00960033" w:rsidRDefault="00960033" w:rsidP="00C17691">
      <w:pPr>
        <w:shd w:val="clear" w:color="auto" w:fill="FFFFFF"/>
        <w:ind w:firstLine="720"/>
        <w:rPr>
          <w:rFonts w:cs="Arial"/>
          <w:bCs/>
        </w:rPr>
      </w:pPr>
      <w:r>
        <w:rPr>
          <w:rFonts w:cs="Arial"/>
          <w:bCs/>
        </w:rPr>
        <w:t xml:space="preserve">The Certain Individuals exception </w:t>
      </w:r>
      <w:r w:rsidR="00A93111">
        <w:rPr>
          <w:rFonts w:cs="Arial"/>
          <w:bCs/>
        </w:rPr>
        <w:t xml:space="preserve">will apply </w:t>
      </w:r>
      <w:r w:rsidR="008E7680">
        <w:rPr>
          <w:rFonts w:cs="Arial"/>
          <w:bCs/>
        </w:rPr>
        <w:t xml:space="preserve">to ENDS products, subject to </w:t>
      </w:r>
      <w:proofErr w:type="gramStart"/>
      <w:r w:rsidR="008E7680">
        <w:rPr>
          <w:rFonts w:cs="Arial"/>
          <w:bCs/>
        </w:rPr>
        <w:t>all of</w:t>
      </w:r>
      <w:proofErr w:type="gramEnd"/>
      <w:r w:rsidR="008E7680">
        <w:rPr>
          <w:rFonts w:cs="Arial"/>
          <w:bCs/>
        </w:rPr>
        <w:t xml:space="preserve"> the same </w:t>
      </w:r>
      <w:r w:rsidR="007A01EB">
        <w:rPr>
          <w:rFonts w:cs="Arial"/>
          <w:bCs/>
        </w:rPr>
        <w:t xml:space="preserve">frequency, weight, </w:t>
      </w:r>
      <w:r w:rsidR="0020022A">
        <w:rPr>
          <w:rFonts w:cs="Arial"/>
          <w:bCs/>
        </w:rPr>
        <w:t xml:space="preserve">age-verification, and other </w:t>
      </w:r>
      <w:r w:rsidR="008E7680">
        <w:rPr>
          <w:rFonts w:cs="Arial"/>
          <w:bCs/>
        </w:rPr>
        <w:t xml:space="preserve">conditions that </w:t>
      </w:r>
      <w:r w:rsidR="008E7680">
        <w:rPr>
          <w:rFonts w:cs="Arial"/>
          <w:bCs/>
        </w:rPr>
        <w:lastRenderedPageBreak/>
        <w:t xml:space="preserve">apply to other </w:t>
      </w:r>
      <w:r w:rsidR="0020022A">
        <w:rPr>
          <w:rFonts w:cs="Arial"/>
          <w:bCs/>
        </w:rPr>
        <w:t xml:space="preserve">shipments covered by </w:t>
      </w:r>
      <w:r w:rsidR="006D6BE5">
        <w:rPr>
          <w:rFonts w:cs="Arial"/>
          <w:bCs/>
        </w:rPr>
        <w:t>the PACT Act</w:t>
      </w:r>
      <w:r w:rsidR="008E7680">
        <w:rPr>
          <w:rFonts w:cs="Arial"/>
          <w:bCs/>
        </w:rPr>
        <w:t>.</w:t>
      </w:r>
      <w:r w:rsidR="00691F56">
        <w:rPr>
          <w:rFonts w:cs="Arial"/>
          <w:bCs/>
        </w:rPr>
        <w:t xml:space="preserve"> By statute, this exception applies to </w:t>
      </w:r>
      <w:r w:rsidR="006346E5">
        <w:rPr>
          <w:rFonts w:cs="Arial"/>
          <w:bCs/>
        </w:rPr>
        <w:t xml:space="preserve">qualifying shipments by individual adult mailers without regard to </w:t>
      </w:r>
      <w:r w:rsidR="009A4BBD">
        <w:rPr>
          <w:rFonts w:cs="Arial"/>
          <w:bCs/>
        </w:rPr>
        <w:t xml:space="preserve">the </w:t>
      </w:r>
      <w:r w:rsidR="005B3A83">
        <w:rPr>
          <w:rFonts w:cs="Arial"/>
          <w:bCs/>
        </w:rPr>
        <w:t xml:space="preserve">nature </w:t>
      </w:r>
      <w:r w:rsidR="009A4BBD">
        <w:rPr>
          <w:rFonts w:cs="Arial"/>
          <w:bCs/>
        </w:rPr>
        <w:t>of the recipient</w:t>
      </w:r>
      <w:r w:rsidR="005B3A83">
        <w:rPr>
          <w:rFonts w:cs="Arial"/>
          <w:bCs/>
        </w:rPr>
        <w:t xml:space="preserve"> entity</w:t>
      </w:r>
      <w:r w:rsidR="009A4BBD">
        <w:rPr>
          <w:rFonts w:cs="Arial"/>
          <w:bCs/>
        </w:rPr>
        <w:t xml:space="preserve">, </w:t>
      </w:r>
      <w:r w:rsidR="00B233E4">
        <w:rPr>
          <w:rFonts w:cs="Arial"/>
          <w:bCs/>
        </w:rPr>
        <w:t xml:space="preserve">expressly </w:t>
      </w:r>
      <w:r w:rsidR="009A4BBD">
        <w:rPr>
          <w:rFonts w:cs="Arial"/>
          <w:bCs/>
        </w:rPr>
        <w:t xml:space="preserve">including the </w:t>
      </w:r>
      <w:r w:rsidR="005B3A83">
        <w:rPr>
          <w:rFonts w:cs="Arial"/>
          <w:bCs/>
        </w:rPr>
        <w:t>return of damaged or unacceptable products to manufacturers</w:t>
      </w:r>
      <w:r w:rsidR="009A4BBD">
        <w:rPr>
          <w:rFonts w:cs="Arial"/>
          <w:bCs/>
        </w:rPr>
        <w:t>.</w:t>
      </w:r>
      <w:r w:rsidR="005B3A83">
        <w:rPr>
          <w:rFonts w:cs="Arial"/>
          <w:bCs/>
        </w:rPr>
        <w:t xml:space="preserve"> Among other conditions, however, the </w:t>
      </w:r>
      <w:r w:rsidR="00B233E4">
        <w:rPr>
          <w:rFonts w:cs="Arial"/>
          <w:bCs/>
        </w:rPr>
        <w:t xml:space="preserve">statute limits the exception to shipments </w:t>
      </w:r>
      <w:r w:rsidR="005B3A83">
        <w:rPr>
          <w:rFonts w:cs="Arial"/>
          <w:bCs/>
        </w:rPr>
        <w:t>for noncommercial purposes</w:t>
      </w:r>
      <w:r w:rsidR="00B233E4">
        <w:rPr>
          <w:rFonts w:cs="Arial"/>
          <w:bCs/>
        </w:rPr>
        <w:t>.</w:t>
      </w:r>
      <w:r w:rsidR="00D46D3F">
        <w:rPr>
          <w:rFonts w:cs="Arial"/>
          <w:bCs/>
        </w:rPr>
        <w:t xml:space="preserve"> Thus, the </w:t>
      </w:r>
      <w:r w:rsidR="006D7D8E">
        <w:rPr>
          <w:rFonts w:cs="Arial"/>
          <w:bCs/>
        </w:rPr>
        <w:t xml:space="preserve">compatibility of </w:t>
      </w:r>
      <w:r w:rsidR="00D46D3F">
        <w:rPr>
          <w:rFonts w:cs="Arial"/>
          <w:bCs/>
        </w:rPr>
        <w:t>ENDS manufacturers’ recycling programs</w:t>
      </w:r>
      <w:r w:rsidR="00217D0B">
        <w:rPr>
          <w:rFonts w:cs="Arial"/>
          <w:bCs/>
        </w:rPr>
        <w:t xml:space="preserve"> </w:t>
      </w:r>
      <w:r w:rsidR="006D7D8E">
        <w:rPr>
          <w:rFonts w:cs="Arial"/>
          <w:bCs/>
        </w:rPr>
        <w:t xml:space="preserve">with this exception </w:t>
      </w:r>
      <w:r w:rsidR="00D46D3F">
        <w:rPr>
          <w:rFonts w:cs="Arial"/>
          <w:bCs/>
        </w:rPr>
        <w:t xml:space="preserve">may depend on whether such programs are structured </w:t>
      </w:r>
      <w:r w:rsidR="00CF419A">
        <w:rPr>
          <w:rFonts w:cs="Arial"/>
          <w:bCs/>
        </w:rPr>
        <w:t xml:space="preserve">so </w:t>
      </w:r>
      <w:r w:rsidR="00D46D3F">
        <w:rPr>
          <w:rFonts w:cs="Arial"/>
          <w:bCs/>
        </w:rPr>
        <w:t xml:space="preserve">as </w:t>
      </w:r>
      <w:r w:rsidR="00CF419A">
        <w:rPr>
          <w:rFonts w:cs="Arial"/>
          <w:bCs/>
        </w:rPr>
        <w:t>not to involve any exchange of commercial value.</w:t>
      </w:r>
      <w:r w:rsidR="00EE5D08">
        <w:rPr>
          <w:rFonts w:cs="Arial"/>
          <w:bCs/>
        </w:rPr>
        <w:t xml:space="preserve"> The final rule also clarifies the standard for noncommercial</w:t>
      </w:r>
      <w:r w:rsidR="00C27277">
        <w:rPr>
          <w:rFonts w:cs="Arial"/>
          <w:bCs/>
        </w:rPr>
        <w:t xml:space="preserve"> purposes</w:t>
      </w:r>
      <w:r w:rsidR="00EE5D08">
        <w:rPr>
          <w:rFonts w:cs="Arial"/>
          <w:bCs/>
        </w:rPr>
        <w:t xml:space="preserve"> in the context of </w:t>
      </w:r>
      <w:r w:rsidR="00405286">
        <w:rPr>
          <w:rFonts w:cs="Arial"/>
          <w:bCs/>
        </w:rPr>
        <w:t>returns of damaged or unacceptable products</w:t>
      </w:r>
      <w:r w:rsidR="002A0BA9">
        <w:rPr>
          <w:rFonts w:cs="Arial"/>
          <w:bCs/>
        </w:rPr>
        <w:t>, to the effect that any value provided in exchange for the returned item cannot exceed that which would restore the sender to the status quo ante</w:t>
      </w:r>
      <w:r w:rsidR="00405286">
        <w:rPr>
          <w:rFonts w:cs="Arial"/>
          <w:bCs/>
        </w:rPr>
        <w:t>.</w:t>
      </w:r>
    </w:p>
    <w:p w14:paraId="10D02D0D" w14:textId="288206D8" w:rsidR="00E801A5" w:rsidRDefault="00D13818" w:rsidP="00C17691">
      <w:pPr>
        <w:shd w:val="clear" w:color="auto" w:fill="FFFFFF"/>
        <w:ind w:firstLine="720"/>
        <w:rPr>
          <w:rFonts w:cs="Arial"/>
          <w:bCs/>
        </w:rPr>
      </w:pPr>
      <w:r>
        <w:rPr>
          <w:rFonts w:cs="Arial"/>
          <w:bCs/>
        </w:rPr>
        <w:t xml:space="preserve">As for </w:t>
      </w:r>
      <w:r w:rsidR="000F11E1">
        <w:rPr>
          <w:rFonts w:cs="Arial"/>
          <w:bCs/>
        </w:rPr>
        <w:t>the Consumer Testing and Public Health exceptions</w:t>
      </w:r>
      <w:r>
        <w:rPr>
          <w:rFonts w:cs="Arial"/>
          <w:bCs/>
        </w:rPr>
        <w:t xml:space="preserve">, it is apparent that Congress intended those exceptions to apply only to </w:t>
      </w:r>
      <w:r w:rsidR="00405286">
        <w:rPr>
          <w:rFonts w:cs="Arial"/>
          <w:bCs/>
        </w:rPr>
        <w:t xml:space="preserve">combustible </w:t>
      </w:r>
      <w:r>
        <w:rPr>
          <w:rFonts w:cs="Arial"/>
          <w:bCs/>
        </w:rPr>
        <w:t xml:space="preserve">cigarettes, and not to ENDS </w:t>
      </w:r>
      <w:r w:rsidR="00F1359C">
        <w:rPr>
          <w:rFonts w:cs="Arial"/>
          <w:bCs/>
        </w:rPr>
        <w:t xml:space="preserve">products </w:t>
      </w:r>
      <w:r>
        <w:rPr>
          <w:rFonts w:cs="Arial"/>
          <w:bCs/>
        </w:rPr>
        <w:t>or smokeless tobacco</w:t>
      </w:r>
      <w:r w:rsidR="002B5B0C">
        <w:rPr>
          <w:rFonts w:cs="Arial"/>
          <w:bCs/>
        </w:rPr>
        <w:t>. First, the Consumer Testing exception is statutorily restricted to cigarette manufacturers with a permit under section 5713 of the Internal Revenue Code</w:t>
      </w:r>
      <w:r w:rsidR="002A0BA9">
        <w:rPr>
          <w:rFonts w:cs="Arial"/>
          <w:bCs/>
        </w:rPr>
        <w:t xml:space="preserve"> (“IRC”)</w:t>
      </w:r>
      <w:r w:rsidR="002B5B0C">
        <w:rPr>
          <w:rFonts w:cs="Arial"/>
          <w:bCs/>
        </w:rPr>
        <w:t xml:space="preserve">, </w:t>
      </w:r>
      <w:r w:rsidR="00362B93">
        <w:rPr>
          <w:rFonts w:cs="Arial"/>
          <w:bCs/>
        </w:rPr>
        <w:t xml:space="preserve">which does not </w:t>
      </w:r>
      <w:r w:rsidR="00E235D8">
        <w:rPr>
          <w:rFonts w:cs="Arial"/>
          <w:bCs/>
        </w:rPr>
        <w:t xml:space="preserve">apply to </w:t>
      </w:r>
      <w:r w:rsidR="00362B93">
        <w:rPr>
          <w:rFonts w:cs="Arial"/>
          <w:bCs/>
        </w:rPr>
        <w:t>ENDS manufacturers</w:t>
      </w:r>
      <w:r w:rsidR="002B5B0C">
        <w:rPr>
          <w:rFonts w:cs="Arial"/>
          <w:bCs/>
        </w:rPr>
        <w:t>.</w:t>
      </w:r>
      <w:r w:rsidR="00362B93">
        <w:rPr>
          <w:rFonts w:cs="Arial"/>
          <w:bCs/>
        </w:rPr>
        <w:t xml:space="preserve"> Second, </w:t>
      </w:r>
      <w:r w:rsidR="001679E3">
        <w:rPr>
          <w:rFonts w:cs="Arial"/>
          <w:bCs/>
        </w:rPr>
        <w:t xml:space="preserve">shipments under </w:t>
      </w:r>
      <w:r w:rsidR="00362B93">
        <w:rPr>
          <w:rFonts w:cs="Arial"/>
          <w:bCs/>
        </w:rPr>
        <w:t xml:space="preserve">the Consumer Testing exception (and, by extension, the Public Health exception) </w:t>
      </w:r>
      <w:r w:rsidR="001679E3">
        <w:rPr>
          <w:rFonts w:cs="Arial"/>
          <w:bCs/>
        </w:rPr>
        <w:t xml:space="preserve">are expressly limited to specified quantities of “packs of cigarettes” containing 20 cigarettes each. This </w:t>
      </w:r>
      <w:r w:rsidR="005F42C7">
        <w:rPr>
          <w:rFonts w:cs="Arial"/>
          <w:bCs/>
        </w:rPr>
        <w:t xml:space="preserve">standardized </w:t>
      </w:r>
      <w:r w:rsidR="001679E3">
        <w:rPr>
          <w:rFonts w:cs="Arial"/>
          <w:bCs/>
        </w:rPr>
        <w:t xml:space="preserve">quantification </w:t>
      </w:r>
      <w:r w:rsidR="005F42C7">
        <w:rPr>
          <w:rFonts w:cs="Arial"/>
          <w:bCs/>
        </w:rPr>
        <w:t xml:space="preserve">is </w:t>
      </w:r>
      <w:r w:rsidR="00A342FF">
        <w:rPr>
          <w:rFonts w:cs="Arial"/>
          <w:bCs/>
        </w:rPr>
        <w:t xml:space="preserve">meaningful </w:t>
      </w:r>
      <w:r w:rsidR="005F42C7">
        <w:rPr>
          <w:rFonts w:cs="Arial"/>
          <w:bCs/>
        </w:rPr>
        <w:t xml:space="preserve">in the context of </w:t>
      </w:r>
      <w:r w:rsidR="009E5776">
        <w:rPr>
          <w:rFonts w:cs="Arial"/>
          <w:bCs/>
        </w:rPr>
        <w:t xml:space="preserve">combustible </w:t>
      </w:r>
      <w:r w:rsidR="005F42C7">
        <w:rPr>
          <w:rFonts w:cs="Arial"/>
          <w:bCs/>
        </w:rPr>
        <w:t xml:space="preserve">cigarettes, but not in the context of ENDS </w:t>
      </w:r>
      <w:r w:rsidR="00F1359C">
        <w:rPr>
          <w:rFonts w:cs="Arial"/>
          <w:bCs/>
        </w:rPr>
        <w:t xml:space="preserve">products </w:t>
      </w:r>
      <w:r w:rsidR="005F42C7">
        <w:rPr>
          <w:rFonts w:cs="Arial"/>
          <w:bCs/>
        </w:rPr>
        <w:t xml:space="preserve">or smokeless tobacco. Upon consideration of the public comments, there does not appear to be a workable standard </w:t>
      </w:r>
      <w:r w:rsidR="000130C8">
        <w:rPr>
          <w:rFonts w:cs="Arial"/>
          <w:bCs/>
        </w:rPr>
        <w:t xml:space="preserve">by which to apply </w:t>
      </w:r>
      <w:r w:rsidR="00472456">
        <w:rPr>
          <w:rFonts w:cs="Arial"/>
          <w:bCs/>
        </w:rPr>
        <w:t>th</w:t>
      </w:r>
      <w:r w:rsidR="00952688">
        <w:rPr>
          <w:rFonts w:cs="Arial"/>
          <w:bCs/>
        </w:rPr>
        <w:t>is</w:t>
      </w:r>
      <w:r w:rsidR="000130C8">
        <w:rPr>
          <w:rFonts w:cs="Arial"/>
          <w:bCs/>
        </w:rPr>
        <w:t xml:space="preserve"> </w:t>
      </w:r>
      <w:r w:rsidR="00D26145">
        <w:rPr>
          <w:rFonts w:cs="Arial"/>
          <w:bCs/>
        </w:rPr>
        <w:t xml:space="preserve">material condition </w:t>
      </w:r>
      <w:r w:rsidR="00472456">
        <w:rPr>
          <w:rFonts w:cs="Arial"/>
          <w:bCs/>
        </w:rPr>
        <w:t xml:space="preserve">for </w:t>
      </w:r>
      <w:r w:rsidR="00952688">
        <w:rPr>
          <w:rFonts w:cs="Arial"/>
          <w:bCs/>
        </w:rPr>
        <w:t xml:space="preserve">the Consumer Testing and </w:t>
      </w:r>
      <w:r w:rsidR="00952688">
        <w:rPr>
          <w:rFonts w:cs="Arial"/>
          <w:bCs/>
        </w:rPr>
        <w:lastRenderedPageBreak/>
        <w:t xml:space="preserve">Public Health </w:t>
      </w:r>
      <w:r w:rsidR="00472456">
        <w:rPr>
          <w:rFonts w:cs="Arial"/>
          <w:bCs/>
        </w:rPr>
        <w:t>exception</w:t>
      </w:r>
      <w:r w:rsidR="00952688">
        <w:rPr>
          <w:rFonts w:cs="Arial"/>
          <w:bCs/>
        </w:rPr>
        <w:t>s</w:t>
      </w:r>
      <w:r w:rsidR="00472456">
        <w:rPr>
          <w:rFonts w:cs="Arial"/>
          <w:bCs/>
        </w:rPr>
        <w:t xml:space="preserve"> </w:t>
      </w:r>
      <w:r w:rsidR="000130C8">
        <w:rPr>
          <w:rFonts w:cs="Arial"/>
          <w:bCs/>
        </w:rPr>
        <w:t>to ENDS</w:t>
      </w:r>
      <w:r w:rsidR="00F1359C">
        <w:rPr>
          <w:rFonts w:cs="Arial"/>
          <w:bCs/>
        </w:rPr>
        <w:t xml:space="preserve"> products</w:t>
      </w:r>
      <w:r w:rsidR="000130C8">
        <w:rPr>
          <w:rFonts w:cs="Arial"/>
          <w:bCs/>
        </w:rPr>
        <w:t xml:space="preserve">, notwithstanding their </w:t>
      </w:r>
      <w:r w:rsidR="009D204F">
        <w:rPr>
          <w:rFonts w:cs="Arial"/>
          <w:bCs/>
        </w:rPr>
        <w:t xml:space="preserve">treatment as </w:t>
      </w:r>
      <w:r w:rsidR="000130C8">
        <w:rPr>
          <w:rFonts w:cs="Arial"/>
          <w:bCs/>
        </w:rPr>
        <w:t>“cigarette</w:t>
      </w:r>
      <w:r w:rsidR="00D26145">
        <w:rPr>
          <w:rFonts w:cs="Arial"/>
          <w:bCs/>
        </w:rPr>
        <w:t>s” for broader purposes of the PACT Act.</w:t>
      </w:r>
      <w:r w:rsidR="00B76176">
        <w:rPr>
          <w:rFonts w:cs="Arial"/>
          <w:bCs/>
        </w:rPr>
        <w:t xml:space="preserve"> </w:t>
      </w:r>
      <w:r w:rsidR="00D83021">
        <w:rPr>
          <w:rFonts w:cs="Arial"/>
          <w:bCs/>
        </w:rPr>
        <w:t xml:space="preserve">Given </w:t>
      </w:r>
      <w:r w:rsidR="000822C7">
        <w:rPr>
          <w:rFonts w:cs="Arial"/>
          <w:bCs/>
        </w:rPr>
        <w:t xml:space="preserve">this </w:t>
      </w:r>
      <w:r w:rsidR="00B07E0C">
        <w:rPr>
          <w:rFonts w:cs="Arial"/>
          <w:bCs/>
        </w:rPr>
        <w:t xml:space="preserve">context-based </w:t>
      </w:r>
      <w:r w:rsidR="000822C7">
        <w:rPr>
          <w:rFonts w:cs="Arial"/>
          <w:bCs/>
        </w:rPr>
        <w:t xml:space="preserve">plain reading of the statute </w:t>
      </w:r>
      <w:r w:rsidR="002D0987">
        <w:rPr>
          <w:rFonts w:cs="Arial"/>
          <w:bCs/>
        </w:rPr>
        <w:t xml:space="preserve">and the </w:t>
      </w:r>
      <w:r w:rsidR="00B76176">
        <w:rPr>
          <w:rFonts w:cs="Arial"/>
          <w:bCs/>
        </w:rPr>
        <w:t xml:space="preserve">narrow construction </w:t>
      </w:r>
      <w:r w:rsidR="006D29C4">
        <w:rPr>
          <w:rFonts w:cs="Arial"/>
          <w:bCs/>
        </w:rPr>
        <w:t xml:space="preserve">typically </w:t>
      </w:r>
      <w:r w:rsidR="00B76176">
        <w:rPr>
          <w:rFonts w:cs="Arial"/>
          <w:bCs/>
        </w:rPr>
        <w:t xml:space="preserve">due exceptions, the Postal Service concludes that current law does not support </w:t>
      </w:r>
      <w:r w:rsidR="00F1359C">
        <w:rPr>
          <w:rFonts w:cs="Arial"/>
          <w:bCs/>
        </w:rPr>
        <w:t>applying these exceptions to ENDS products.</w:t>
      </w:r>
    </w:p>
    <w:p w14:paraId="3093E6EC" w14:textId="0AD4ABD4" w:rsidR="002057BA" w:rsidRDefault="0053653F" w:rsidP="00A10E36">
      <w:pPr>
        <w:shd w:val="clear" w:color="auto" w:fill="FFFFFF"/>
        <w:ind w:firstLine="720"/>
        <w:rPr>
          <w:rFonts w:cs="Arial"/>
        </w:rPr>
      </w:pPr>
      <w:r>
        <w:rPr>
          <w:rFonts w:cs="Arial"/>
          <w:bCs/>
        </w:rPr>
        <w:t xml:space="preserve">Upon </w:t>
      </w:r>
      <w:r w:rsidR="00BE404A">
        <w:rPr>
          <w:rFonts w:cs="Arial"/>
          <w:bCs/>
        </w:rPr>
        <w:t>original implement</w:t>
      </w:r>
      <w:r>
        <w:rPr>
          <w:rFonts w:cs="Arial"/>
          <w:bCs/>
        </w:rPr>
        <w:t>ation of</w:t>
      </w:r>
      <w:r w:rsidR="00BE404A">
        <w:rPr>
          <w:rFonts w:cs="Arial"/>
          <w:bCs/>
        </w:rPr>
        <w:t xml:space="preserve"> the PACT Act, the Postal Service determine</w:t>
      </w:r>
      <w:r w:rsidR="00AD2B37">
        <w:rPr>
          <w:rFonts w:cs="Arial"/>
          <w:bCs/>
        </w:rPr>
        <w:t>d</w:t>
      </w:r>
      <w:r w:rsidR="00BE404A">
        <w:rPr>
          <w:rFonts w:cs="Arial"/>
          <w:bCs/>
        </w:rPr>
        <w:t xml:space="preserve"> that the PACT Act exceptions cannot feasibly be applied </w:t>
      </w:r>
      <w:r w:rsidR="00A10E36">
        <w:rPr>
          <w:rFonts w:cs="Arial"/>
          <w:bCs/>
        </w:rPr>
        <w:t xml:space="preserve">to </w:t>
      </w:r>
      <w:r w:rsidR="002057BA" w:rsidRPr="00C17691">
        <w:rPr>
          <w:rFonts w:cs="Arial"/>
          <w:bCs/>
        </w:rPr>
        <w:t xml:space="preserve">inbound or outbound international mail </w:t>
      </w:r>
      <w:r w:rsidR="00CB250B">
        <w:rPr>
          <w:rFonts w:cs="Arial"/>
          <w:bCs/>
        </w:rPr>
        <w:t xml:space="preserve">or </w:t>
      </w:r>
      <w:r>
        <w:rPr>
          <w:rFonts w:cs="Arial"/>
          <w:bCs/>
        </w:rPr>
        <w:t xml:space="preserve">to </w:t>
      </w:r>
      <w:r w:rsidR="002057BA" w:rsidRPr="00C17691">
        <w:rPr>
          <w:rFonts w:cs="Arial"/>
          <w:bCs/>
        </w:rPr>
        <w:t>mail to or from the Freely Associated States.</w:t>
      </w:r>
      <w:r w:rsidR="00D7452E">
        <w:rPr>
          <w:rFonts w:cs="Arial"/>
          <w:bCs/>
        </w:rPr>
        <w:t xml:space="preserve"> The Postal Service cannot fulfill the PACT Act’s verification requirements</w:t>
      </w:r>
      <w:r w:rsidR="007D074B">
        <w:rPr>
          <w:rFonts w:cs="Arial"/>
          <w:bCs/>
        </w:rPr>
        <w:t xml:space="preserve"> in locations where it does not interact directly with shippers</w:t>
      </w:r>
      <w:r w:rsidR="00CB250B">
        <w:rPr>
          <w:rFonts w:cs="Arial"/>
          <w:bCs/>
        </w:rPr>
        <w:t xml:space="preserve"> and addressees</w:t>
      </w:r>
      <w:r w:rsidR="007D074B">
        <w:rPr>
          <w:rFonts w:cs="Arial"/>
          <w:bCs/>
        </w:rPr>
        <w:t>.</w:t>
      </w:r>
      <w:r w:rsidR="000E51F0">
        <w:rPr>
          <w:rFonts w:cs="Arial"/>
          <w:bCs/>
        </w:rPr>
        <w:t xml:space="preserve"> Nothing has changed in that regard.</w:t>
      </w:r>
      <w:r w:rsidR="002057BA" w:rsidRPr="00C17691">
        <w:rPr>
          <w:rFonts w:cs="Arial"/>
          <w:bCs/>
        </w:rPr>
        <w:t xml:space="preserve"> </w:t>
      </w:r>
      <w:r w:rsidR="002057BA" w:rsidRPr="00C17691">
        <w:rPr>
          <w:rFonts w:cs="Arial"/>
        </w:rPr>
        <w:t>As such, all cigarettes</w:t>
      </w:r>
      <w:r w:rsidR="00E9304C">
        <w:rPr>
          <w:rFonts w:cs="Arial"/>
        </w:rPr>
        <w:t xml:space="preserve"> and</w:t>
      </w:r>
      <w:r w:rsidR="00A10E36">
        <w:rPr>
          <w:rFonts w:cs="Arial"/>
        </w:rPr>
        <w:t xml:space="preserve"> </w:t>
      </w:r>
      <w:r w:rsidR="002057BA" w:rsidRPr="00C17691">
        <w:rPr>
          <w:rFonts w:cs="Arial"/>
        </w:rPr>
        <w:t>smokeless tobacco</w:t>
      </w:r>
      <w:r w:rsidR="00E9304C">
        <w:rPr>
          <w:rFonts w:cs="Arial"/>
        </w:rPr>
        <w:t xml:space="preserve"> </w:t>
      </w:r>
      <w:r w:rsidR="002057BA" w:rsidRPr="00C17691">
        <w:rPr>
          <w:rFonts w:cs="Arial"/>
        </w:rPr>
        <w:t xml:space="preserve">in such mail </w:t>
      </w:r>
      <w:r w:rsidR="00E9304C">
        <w:rPr>
          <w:rFonts w:cs="Arial"/>
        </w:rPr>
        <w:t xml:space="preserve">will continue to be </w:t>
      </w:r>
      <w:r w:rsidR="002057BA" w:rsidRPr="00C17691">
        <w:rPr>
          <w:rFonts w:cs="Arial"/>
        </w:rPr>
        <w:t>nonmailable, without exception</w:t>
      </w:r>
      <w:r w:rsidR="00E9304C">
        <w:rPr>
          <w:rFonts w:cs="Arial"/>
        </w:rPr>
        <w:t>, and the same will be true of ENDS products</w:t>
      </w:r>
      <w:r w:rsidR="002057BA" w:rsidRPr="00C17691">
        <w:rPr>
          <w:rFonts w:cs="Arial"/>
        </w:rPr>
        <w:t>.</w:t>
      </w:r>
    </w:p>
    <w:p w14:paraId="24B60A0C" w14:textId="26B8F98A" w:rsidR="00FF17FE" w:rsidRDefault="00003ABD" w:rsidP="00A10E36">
      <w:pPr>
        <w:shd w:val="clear" w:color="auto" w:fill="FFFFFF"/>
        <w:ind w:firstLine="720"/>
        <w:rPr>
          <w:rFonts w:cs="Arial"/>
        </w:rPr>
      </w:pPr>
      <w:r>
        <w:rPr>
          <w:rFonts w:cs="Arial"/>
        </w:rPr>
        <w:t>Moreover</w:t>
      </w:r>
      <w:r w:rsidR="00FF17FE">
        <w:rPr>
          <w:rFonts w:cs="Arial"/>
        </w:rPr>
        <w:t xml:space="preserve">, </w:t>
      </w:r>
      <w:r>
        <w:rPr>
          <w:rFonts w:cs="Arial"/>
        </w:rPr>
        <w:t xml:space="preserve">consultation with partner agencies regarding </w:t>
      </w:r>
      <w:r w:rsidR="00B86577">
        <w:rPr>
          <w:rFonts w:cs="Arial"/>
        </w:rPr>
        <w:t>the PACT Act’s requirements and the availability of</w:t>
      </w:r>
      <w:r w:rsidR="00CC2A9E">
        <w:rPr>
          <w:rFonts w:cs="Arial"/>
        </w:rPr>
        <w:t xml:space="preserve"> relevant postal</w:t>
      </w:r>
      <w:r w:rsidR="00B86577">
        <w:rPr>
          <w:rFonts w:cs="Arial"/>
        </w:rPr>
        <w:t xml:space="preserve"> services </w:t>
      </w:r>
      <w:r>
        <w:rPr>
          <w:rFonts w:cs="Arial"/>
        </w:rPr>
        <w:t xml:space="preserve">has indicated that the statutory prerequisites for the PACT Act’s exceptions cannot reliably be fulfilled at </w:t>
      </w:r>
      <w:r w:rsidR="007B18DB">
        <w:rPr>
          <w:rFonts w:cs="Arial"/>
        </w:rPr>
        <w:t xml:space="preserve">overseas </w:t>
      </w:r>
      <w:r w:rsidR="00B86577">
        <w:rPr>
          <w:rFonts w:cs="Arial"/>
        </w:rPr>
        <w:t xml:space="preserve">U.S. military postal addresses. </w:t>
      </w:r>
      <w:r>
        <w:rPr>
          <w:rFonts w:cs="Arial"/>
        </w:rPr>
        <w:t>Thus, while s</w:t>
      </w:r>
      <w:r w:rsidR="00B86577">
        <w:rPr>
          <w:rFonts w:cs="Arial"/>
        </w:rPr>
        <w:t xml:space="preserve">hipments from such installations to the United States </w:t>
      </w:r>
      <w:r>
        <w:rPr>
          <w:rFonts w:cs="Arial"/>
        </w:rPr>
        <w:t xml:space="preserve">were already </w:t>
      </w:r>
      <w:r w:rsidR="00B86577">
        <w:rPr>
          <w:rFonts w:cs="Arial"/>
        </w:rPr>
        <w:t xml:space="preserve">ineligible for any </w:t>
      </w:r>
      <w:r w:rsidR="00BD47DD">
        <w:rPr>
          <w:rFonts w:cs="Arial"/>
        </w:rPr>
        <w:t xml:space="preserve">PACT Act </w:t>
      </w:r>
      <w:r w:rsidR="00B86577">
        <w:rPr>
          <w:rFonts w:cs="Arial"/>
        </w:rPr>
        <w:t xml:space="preserve">exceptions, </w:t>
      </w:r>
      <w:r>
        <w:rPr>
          <w:rFonts w:cs="Arial"/>
        </w:rPr>
        <w:t>shipments from the United States to such installations must likewise be ineligible for the exceptions at this time</w:t>
      </w:r>
      <w:r w:rsidR="00B86577">
        <w:rPr>
          <w:rFonts w:cs="Arial"/>
        </w:rPr>
        <w:t>.</w:t>
      </w:r>
    </w:p>
    <w:p w14:paraId="4B60110C" w14:textId="79946918" w:rsidR="00E9304C" w:rsidRPr="006F5D98" w:rsidRDefault="008708FA" w:rsidP="00FE6779">
      <w:pPr>
        <w:rPr>
          <w:bCs/>
        </w:rPr>
      </w:pPr>
      <w:bookmarkStart w:id="6" w:name="_Toc79569794"/>
      <w:r w:rsidRPr="00FE6779">
        <w:rPr>
          <w:b/>
          <w:bCs/>
        </w:rPr>
        <w:t>III.</w:t>
      </w:r>
      <w:r w:rsidRPr="00FE6779">
        <w:rPr>
          <w:b/>
          <w:bCs/>
        </w:rPr>
        <w:tab/>
      </w:r>
      <w:r w:rsidR="006530FF" w:rsidRPr="00FE6779">
        <w:rPr>
          <w:b/>
          <w:bCs/>
        </w:rPr>
        <w:t xml:space="preserve">Response to </w:t>
      </w:r>
      <w:r w:rsidR="00CE529B" w:rsidRPr="00FE6779">
        <w:rPr>
          <w:b/>
          <w:bCs/>
        </w:rPr>
        <w:t>Comments</w:t>
      </w:r>
      <w:bookmarkEnd w:id="6"/>
    </w:p>
    <w:p w14:paraId="66CE5425" w14:textId="45AF9C15" w:rsidR="00E9304C" w:rsidRDefault="00FD29E0" w:rsidP="00FD29E0">
      <w:pPr>
        <w:shd w:val="clear" w:color="auto" w:fill="FFFFFF"/>
        <w:ind w:firstLine="720"/>
        <w:rPr>
          <w:rFonts w:cs="Arial"/>
        </w:rPr>
      </w:pPr>
      <w:r w:rsidRPr="00FD29E0">
        <w:rPr>
          <w:rFonts w:cs="Arial"/>
        </w:rPr>
        <w:t xml:space="preserve">The Postal Service received </w:t>
      </w:r>
      <w:r>
        <w:rPr>
          <w:rFonts w:cs="Arial"/>
        </w:rPr>
        <w:t xml:space="preserve">more than 15,700 responses </w:t>
      </w:r>
      <w:r w:rsidRPr="00FD29E0">
        <w:rPr>
          <w:rFonts w:cs="Arial"/>
        </w:rPr>
        <w:t xml:space="preserve">to the </w:t>
      </w:r>
      <w:r w:rsidR="00204F5C">
        <w:rPr>
          <w:rFonts w:cs="Arial"/>
        </w:rPr>
        <w:t xml:space="preserve">notice of </w:t>
      </w:r>
      <w:r w:rsidRPr="00FD29E0">
        <w:rPr>
          <w:rFonts w:cs="Arial"/>
        </w:rPr>
        <w:t>proposed rule</w:t>
      </w:r>
      <w:r w:rsidR="00204F5C">
        <w:rPr>
          <w:rFonts w:cs="Arial"/>
        </w:rPr>
        <w:t>making</w:t>
      </w:r>
      <w:r w:rsidRPr="00FD29E0">
        <w:rPr>
          <w:rFonts w:cs="Arial"/>
        </w:rPr>
        <w:t xml:space="preserve">, several of which included </w:t>
      </w:r>
      <w:r w:rsidR="006B616E">
        <w:rPr>
          <w:rFonts w:cs="Arial"/>
        </w:rPr>
        <w:t>comments on multiple topics</w:t>
      </w:r>
      <w:r w:rsidRPr="00FD29E0">
        <w:rPr>
          <w:rFonts w:cs="Arial"/>
        </w:rPr>
        <w:t xml:space="preserve">. </w:t>
      </w:r>
      <w:r w:rsidRPr="00FD29E0">
        <w:rPr>
          <w:rFonts w:cs="Arial"/>
        </w:rPr>
        <w:lastRenderedPageBreak/>
        <w:t xml:space="preserve">Commenters included </w:t>
      </w:r>
      <w:r w:rsidR="00F90171">
        <w:rPr>
          <w:rFonts w:cs="Arial"/>
        </w:rPr>
        <w:t xml:space="preserve">businesses that ship </w:t>
      </w:r>
      <w:r w:rsidR="002A6D18">
        <w:rPr>
          <w:rFonts w:cs="Arial"/>
        </w:rPr>
        <w:t>ENDS products</w:t>
      </w:r>
      <w:r w:rsidR="00644542">
        <w:rPr>
          <w:rFonts w:cs="Arial"/>
        </w:rPr>
        <w:t>;</w:t>
      </w:r>
      <w:r w:rsidR="002A6D18">
        <w:rPr>
          <w:rFonts w:cs="Arial"/>
        </w:rPr>
        <w:t xml:space="preserve"> </w:t>
      </w:r>
      <w:r w:rsidRPr="00FD29E0">
        <w:rPr>
          <w:rFonts w:cs="Arial"/>
        </w:rPr>
        <w:t xml:space="preserve">individual </w:t>
      </w:r>
      <w:r w:rsidR="00F90171">
        <w:rPr>
          <w:rFonts w:cs="Arial"/>
        </w:rPr>
        <w:t>consumers of ENDS products</w:t>
      </w:r>
      <w:r w:rsidR="00644542">
        <w:rPr>
          <w:rFonts w:cs="Arial"/>
        </w:rPr>
        <w:t>;</w:t>
      </w:r>
      <w:r w:rsidRPr="00FD29E0">
        <w:rPr>
          <w:rFonts w:cs="Arial"/>
        </w:rPr>
        <w:t xml:space="preserve"> </w:t>
      </w:r>
      <w:r w:rsidR="00CC68CD">
        <w:rPr>
          <w:rFonts w:cs="Arial"/>
        </w:rPr>
        <w:t xml:space="preserve">organizations </w:t>
      </w:r>
      <w:r w:rsidR="00215E72">
        <w:rPr>
          <w:rFonts w:cs="Arial"/>
        </w:rPr>
        <w:t>representing ENDS shippers and</w:t>
      </w:r>
      <w:r w:rsidR="00DD09A0">
        <w:rPr>
          <w:rFonts w:cs="Arial"/>
        </w:rPr>
        <w:t>/or</w:t>
      </w:r>
      <w:r w:rsidR="00215E72">
        <w:rPr>
          <w:rFonts w:cs="Arial"/>
        </w:rPr>
        <w:t xml:space="preserve"> consumers</w:t>
      </w:r>
      <w:r w:rsidR="00644542">
        <w:rPr>
          <w:rFonts w:cs="Arial"/>
        </w:rPr>
        <w:t>;</w:t>
      </w:r>
      <w:r w:rsidR="00215E72">
        <w:rPr>
          <w:rFonts w:cs="Arial"/>
        </w:rPr>
        <w:t xml:space="preserve"> </w:t>
      </w:r>
      <w:r w:rsidR="002C0751">
        <w:rPr>
          <w:rFonts w:cs="Arial"/>
        </w:rPr>
        <w:t>organizations representing taxpayer and/or business interests generally</w:t>
      </w:r>
      <w:r w:rsidR="00644542">
        <w:rPr>
          <w:rFonts w:cs="Arial"/>
        </w:rPr>
        <w:t>;</w:t>
      </w:r>
      <w:r w:rsidR="002C0751">
        <w:rPr>
          <w:rFonts w:cs="Arial"/>
        </w:rPr>
        <w:t xml:space="preserve"> </w:t>
      </w:r>
      <w:r w:rsidR="009C475E">
        <w:rPr>
          <w:rFonts w:cs="Arial"/>
        </w:rPr>
        <w:t>a group of state and local attorneys general</w:t>
      </w:r>
      <w:r w:rsidR="00644542">
        <w:rPr>
          <w:rFonts w:cs="Arial"/>
        </w:rPr>
        <w:t>;</w:t>
      </w:r>
      <w:r w:rsidR="009C475E">
        <w:rPr>
          <w:rFonts w:cs="Arial"/>
        </w:rPr>
        <w:t xml:space="preserve"> public-health researcher</w:t>
      </w:r>
      <w:r w:rsidR="00644542">
        <w:rPr>
          <w:rFonts w:cs="Arial"/>
        </w:rPr>
        <w:t>s, research institutions</w:t>
      </w:r>
      <w:r w:rsidR="00865F0D">
        <w:rPr>
          <w:rFonts w:cs="Arial"/>
        </w:rPr>
        <w:t xml:space="preserve">, and </w:t>
      </w:r>
      <w:r w:rsidR="009C475E">
        <w:rPr>
          <w:rFonts w:cs="Arial"/>
        </w:rPr>
        <w:t xml:space="preserve">advocacy </w:t>
      </w:r>
      <w:r w:rsidR="00865F0D">
        <w:rPr>
          <w:rFonts w:cs="Arial"/>
        </w:rPr>
        <w:t>organizations;</w:t>
      </w:r>
      <w:r w:rsidR="009C475E">
        <w:rPr>
          <w:rFonts w:cs="Arial"/>
        </w:rPr>
        <w:t xml:space="preserve"> and </w:t>
      </w:r>
      <w:r w:rsidR="00C33B71">
        <w:rPr>
          <w:rFonts w:cs="Arial"/>
        </w:rPr>
        <w:t>a number of individual law students</w:t>
      </w:r>
      <w:r w:rsidRPr="00FD29E0">
        <w:rPr>
          <w:rFonts w:cs="Arial"/>
        </w:rPr>
        <w:t>.</w:t>
      </w:r>
      <w:r w:rsidR="00477345">
        <w:rPr>
          <w:rFonts w:cs="Arial"/>
        </w:rPr>
        <w:t xml:space="preserve"> In addition, the Postal Service consulted informally with </w:t>
      </w:r>
      <w:r w:rsidR="000B6F42">
        <w:rPr>
          <w:rFonts w:cs="Arial"/>
        </w:rPr>
        <w:t>ENDS researchers</w:t>
      </w:r>
      <w:r w:rsidR="00951342">
        <w:rPr>
          <w:rFonts w:cs="Arial"/>
        </w:rPr>
        <w:t xml:space="preserve">, industry participants, </w:t>
      </w:r>
      <w:r w:rsidR="00C864C3">
        <w:rPr>
          <w:rFonts w:cs="Arial"/>
        </w:rPr>
        <w:t>S</w:t>
      </w:r>
      <w:r w:rsidR="00EA4BC4">
        <w:rPr>
          <w:rFonts w:cs="Arial"/>
        </w:rPr>
        <w:t>tate</w:t>
      </w:r>
      <w:r w:rsidR="00E6784B">
        <w:rPr>
          <w:rFonts w:cs="Arial"/>
        </w:rPr>
        <w:t xml:space="preserve"> </w:t>
      </w:r>
      <w:r w:rsidR="00C864C3">
        <w:rPr>
          <w:rFonts w:cs="Arial"/>
        </w:rPr>
        <w:t xml:space="preserve">and local </w:t>
      </w:r>
      <w:r w:rsidR="00E6784B">
        <w:rPr>
          <w:rFonts w:cs="Arial"/>
        </w:rPr>
        <w:t xml:space="preserve">attorneys general, and </w:t>
      </w:r>
      <w:r w:rsidR="0031608F">
        <w:rPr>
          <w:rFonts w:cs="Arial"/>
        </w:rPr>
        <w:t xml:space="preserve">Federal </w:t>
      </w:r>
      <w:r w:rsidR="00010E3A">
        <w:rPr>
          <w:rFonts w:cs="Arial"/>
        </w:rPr>
        <w:t xml:space="preserve">agencies involved in </w:t>
      </w:r>
      <w:r w:rsidR="007B4855">
        <w:rPr>
          <w:rFonts w:cs="Arial"/>
        </w:rPr>
        <w:t>regulating tobacco and ENDS products</w:t>
      </w:r>
      <w:r w:rsidR="00951342">
        <w:rPr>
          <w:rFonts w:cs="Arial"/>
        </w:rPr>
        <w:t>.</w:t>
      </w:r>
      <w:r w:rsidRPr="00FD29E0">
        <w:rPr>
          <w:rFonts w:cs="Arial"/>
        </w:rPr>
        <w:t xml:space="preserve"> Comments and Postal Service</w:t>
      </w:r>
      <w:r>
        <w:rPr>
          <w:rFonts w:cs="Arial"/>
        </w:rPr>
        <w:t xml:space="preserve"> </w:t>
      </w:r>
      <w:r w:rsidRPr="00FD29E0">
        <w:rPr>
          <w:rFonts w:cs="Arial"/>
        </w:rPr>
        <w:t>responses are summarized as follows</w:t>
      </w:r>
      <w:r w:rsidR="00C61204">
        <w:rPr>
          <w:rFonts w:cs="Arial"/>
        </w:rPr>
        <w:t>.</w:t>
      </w:r>
    </w:p>
    <w:p w14:paraId="3AA8F3A1" w14:textId="7E7CE3AB" w:rsidR="006E509A" w:rsidRPr="000D3A79" w:rsidRDefault="001F2D7E" w:rsidP="000D3A79">
      <w:pPr>
        <w:ind w:firstLine="720"/>
        <w:rPr>
          <w:b/>
          <w:bCs/>
        </w:rPr>
      </w:pPr>
      <w:bookmarkStart w:id="7" w:name="_Toc79569795"/>
      <w:r w:rsidRPr="000D3A79">
        <w:rPr>
          <w:b/>
          <w:bCs/>
        </w:rPr>
        <w:t>A.</w:t>
      </w:r>
      <w:r w:rsidRPr="000D3A79">
        <w:rPr>
          <w:b/>
          <w:bCs/>
        </w:rPr>
        <w:tab/>
      </w:r>
      <w:r w:rsidR="00E564CB" w:rsidRPr="000D3A79">
        <w:rPr>
          <w:b/>
          <w:bCs/>
        </w:rPr>
        <w:t>Lack of Policy Discretion</w:t>
      </w:r>
      <w:bookmarkEnd w:id="7"/>
    </w:p>
    <w:p w14:paraId="0FF10C69" w14:textId="3AB58FBA" w:rsidR="000A0C96" w:rsidRPr="000D3A79" w:rsidRDefault="001F2D7E" w:rsidP="000D3A79">
      <w:pPr>
        <w:ind w:left="720" w:firstLine="720"/>
        <w:rPr>
          <w:b/>
          <w:bCs/>
        </w:rPr>
      </w:pPr>
      <w:r w:rsidRPr="000D3A79">
        <w:rPr>
          <w:b/>
          <w:bCs/>
        </w:rPr>
        <w:t>1.</w:t>
      </w:r>
      <w:r w:rsidRPr="000D3A79">
        <w:rPr>
          <w:b/>
          <w:bCs/>
        </w:rPr>
        <w:tab/>
      </w:r>
      <w:bookmarkStart w:id="8" w:name="_Toc79569796"/>
      <w:r w:rsidR="00B051CB" w:rsidRPr="000D3A79">
        <w:rPr>
          <w:b/>
          <w:bCs/>
        </w:rPr>
        <w:t xml:space="preserve">Extra-statutory </w:t>
      </w:r>
      <w:r w:rsidR="007B669F" w:rsidRPr="000D3A79">
        <w:rPr>
          <w:b/>
          <w:bCs/>
        </w:rPr>
        <w:t>Expan</w:t>
      </w:r>
      <w:r w:rsidR="00B051CB" w:rsidRPr="000D3A79">
        <w:rPr>
          <w:b/>
          <w:bCs/>
        </w:rPr>
        <w:t>sion of</w:t>
      </w:r>
      <w:r w:rsidR="007B669F" w:rsidRPr="000D3A79">
        <w:rPr>
          <w:b/>
          <w:bCs/>
        </w:rPr>
        <w:t xml:space="preserve"> Mailability</w:t>
      </w:r>
      <w:bookmarkEnd w:id="8"/>
    </w:p>
    <w:p w14:paraId="4526B5FD" w14:textId="23346E5D" w:rsidR="0057301C" w:rsidRDefault="00A066C6" w:rsidP="00FD29E0">
      <w:pPr>
        <w:shd w:val="clear" w:color="auto" w:fill="FFFFFF"/>
        <w:ind w:firstLine="720"/>
        <w:rPr>
          <w:rFonts w:cs="Arial"/>
        </w:rPr>
      </w:pPr>
      <w:proofErr w:type="gramStart"/>
      <w:r>
        <w:rPr>
          <w:rFonts w:cs="Arial"/>
        </w:rPr>
        <w:t>A large number of</w:t>
      </w:r>
      <w:proofErr w:type="gramEnd"/>
      <w:r w:rsidR="003C6556">
        <w:rPr>
          <w:rFonts w:cs="Arial"/>
        </w:rPr>
        <w:t xml:space="preserve"> ENDS consumers</w:t>
      </w:r>
      <w:r>
        <w:rPr>
          <w:rFonts w:cs="Arial"/>
        </w:rPr>
        <w:t xml:space="preserve">, </w:t>
      </w:r>
      <w:r w:rsidR="003C6556">
        <w:rPr>
          <w:rFonts w:cs="Arial"/>
        </w:rPr>
        <w:t>ENDS shippers</w:t>
      </w:r>
      <w:r>
        <w:rPr>
          <w:rFonts w:cs="Arial"/>
        </w:rPr>
        <w:t>,</w:t>
      </w:r>
      <w:r w:rsidR="003C6556">
        <w:rPr>
          <w:rFonts w:cs="Arial"/>
        </w:rPr>
        <w:t xml:space="preserve"> </w:t>
      </w:r>
      <w:r w:rsidR="00342BC9">
        <w:rPr>
          <w:rFonts w:cs="Arial"/>
        </w:rPr>
        <w:t xml:space="preserve">and </w:t>
      </w:r>
      <w:r>
        <w:rPr>
          <w:rFonts w:cs="Arial"/>
        </w:rPr>
        <w:t xml:space="preserve">some </w:t>
      </w:r>
      <w:r w:rsidR="00342BC9">
        <w:rPr>
          <w:rFonts w:cs="Arial"/>
        </w:rPr>
        <w:t>law students</w:t>
      </w:r>
      <w:r>
        <w:rPr>
          <w:rFonts w:cs="Arial"/>
        </w:rPr>
        <w:t xml:space="preserve"> (collectively, “pro-ENDS </w:t>
      </w:r>
      <w:r w:rsidR="00B57D6F">
        <w:rPr>
          <w:rFonts w:cs="Arial"/>
        </w:rPr>
        <w:t>commenters</w:t>
      </w:r>
      <w:r>
        <w:rPr>
          <w:rFonts w:cs="Arial"/>
        </w:rPr>
        <w:t>”)</w:t>
      </w:r>
      <w:r w:rsidR="00342BC9">
        <w:rPr>
          <w:rFonts w:cs="Arial"/>
        </w:rPr>
        <w:t xml:space="preserve"> </w:t>
      </w:r>
      <w:r w:rsidR="003C6556">
        <w:rPr>
          <w:rFonts w:cs="Arial"/>
        </w:rPr>
        <w:t>urged the Postal Service not to subject ENDS products to the PACT Act</w:t>
      </w:r>
      <w:r w:rsidR="008424E1">
        <w:rPr>
          <w:rFonts w:cs="Arial"/>
        </w:rPr>
        <w:t xml:space="preserve">. </w:t>
      </w:r>
      <w:r w:rsidR="00094429">
        <w:rPr>
          <w:rFonts w:cs="Arial"/>
        </w:rPr>
        <w:t>As rationales, t</w:t>
      </w:r>
      <w:r w:rsidR="008424E1">
        <w:rPr>
          <w:rFonts w:cs="Arial"/>
        </w:rPr>
        <w:t xml:space="preserve">hese commenters </w:t>
      </w:r>
      <w:r w:rsidR="00094429">
        <w:rPr>
          <w:rFonts w:cs="Arial"/>
        </w:rPr>
        <w:t xml:space="preserve">invoked the </w:t>
      </w:r>
      <w:r w:rsidR="00464D85">
        <w:rPr>
          <w:rFonts w:cs="Arial"/>
        </w:rPr>
        <w:t>purported public benefits associated with ENDS products</w:t>
      </w:r>
      <w:r w:rsidR="005A2B98">
        <w:rPr>
          <w:rFonts w:cs="Arial"/>
        </w:rPr>
        <w:t>;</w:t>
      </w:r>
      <w:r w:rsidR="0057301C">
        <w:rPr>
          <w:rFonts w:cs="Arial"/>
        </w:rPr>
        <w:t xml:space="preserve"> the impact </w:t>
      </w:r>
      <w:r w:rsidR="00094429">
        <w:rPr>
          <w:rFonts w:cs="Arial"/>
        </w:rPr>
        <w:t xml:space="preserve">of a mailing ban </w:t>
      </w:r>
      <w:r w:rsidR="0057301C">
        <w:rPr>
          <w:rFonts w:cs="Arial"/>
        </w:rPr>
        <w:t>on businesses and the Postal Service</w:t>
      </w:r>
      <w:r w:rsidR="005A2B98">
        <w:rPr>
          <w:rFonts w:cs="Arial"/>
        </w:rPr>
        <w:t>;</w:t>
      </w:r>
      <w:r w:rsidR="0057301C">
        <w:rPr>
          <w:rFonts w:cs="Arial"/>
        </w:rPr>
        <w:t xml:space="preserve"> </w:t>
      </w:r>
      <w:r w:rsidR="009B4005">
        <w:rPr>
          <w:rFonts w:cs="Arial"/>
        </w:rPr>
        <w:t xml:space="preserve">the possibility of unanticipated and even perverse </w:t>
      </w:r>
      <w:r w:rsidR="00E03BD3">
        <w:rPr>
          <w:rFonts w:cs="Arial"/>
        </w:rPr>
        <w:t xml:space="preserve">economic, distributive, and public-health </w:t>
      </w:r>
      <w:r w:rsidR="009B4005">
        <w:rPr>
          <w:rFonts w:cs="Arial"/>
        </w:rPr>
        <w:t>effects</w:t>
      </w:r>
      <w:r w:rsidR="00094429">
        <w:rPr>
          <w:rFonts w:cs="Arial"/>
        </w:rPr>
        <w:t xml:space="preserve"> of a mailing ban</w:t>
      </w:r>
      <w:r w:rsidR="005A2B98">
        <w:rPr>
          <w:rFonts w:cs="Arial"/>
        </w:rPr>
        <w:t>;</w:t>
      </w:r>
      <w:r w:rsidR="005746FF">
        <w:rPr>
          <w:rFonts w:cs="Arial"/>
        </w:rPr>
        <w:t xml:space="preserve"> </w:t>
      </w:r>
      <w:r w:rsidR="00D81243">
        <w:rPr>
          <w:rFonts w:cs="Arial"/>
        </w:rPr>
        <w:t xml:space="preserve">doubts about </w:t>
      </w:r>
      <w:r w:rsidR="00EF4647">
        <w:rPr>
          <w:rFonts w:cs="Arial"/>
        </w:rPr>
        <w:t xml:space="preserve">the role </w:t>
      </w:r>
      <w:r w:rsidR="0044051A">
        <w:rPr>
          <w:rFonts w:cs="Arial"/>
        </w:rPr>
        <w:t xml:space="preserve">that </w:t>
      </w:r>
      <w:r w:rsidR="00EF4647">
        <w:rPr>
          <w:rFonts w:cs="Arial"/>
        </w:rPr>
        <w:t>the mail</w:t>
      </w:r>
      <w:r w:rsidR="00056D30">
        <w:rPr>
          <w:rFonts w:cs="Arial"/>
        </w:rPr>
        <w:t>s</w:t>
      </w:r>
      <w:r w:rsidR="00EF4647">
        <w:rPr>
          <w:rFonts w:cs="Arial"/>
        </w:rPr>
        <w:t xml:space="preserve"> </w:t>
      </w:r>
      <w:r w:rsidR="00056D30">
        <w:rPr>
          <w:rFonts w:cs="Arial"/>
        </w:rPr>
        <w:t xml:space="preserve">may play </w:t>
      </w:r>
      <w:r w:rsidR="00EF4647">
        <w:rPr>
          <w:rFonts w:cs="Arial"/>
        </w:rPr>
        <w:t>in youth access</w:t>
      </w:r>
      <w:r w:rsidR="00D04F92">
        <w:rPr>
          <w:rFonts w:cs="Arial"/>
        </w:rPr>
        <w:t xml:space="preserve"> to ENDS products (perceived to be the policy motivation for the mailing ban)</w:t>
      </w:r>
      <w:r w:rsidR="009C2D88">
        <w:rPr>
          <w:rFonts w:cs="Arial"/>
        </w:rPr>
        <w:t>;</w:t>
      </w:r>
      <w:r w:rsidR="000945D9" w:rsidRPr="000945D9">
        <w:rPr>
          <w:rFonts w:cs="Arial"/>
        </w:rPr>
        <w:t xml:space="preserve"> </w:t>
      </w:r>
      <w:r w:rsidR="000945D9">
        <w:rPr>
          <w:rFonts w:cs="Arial"/>
        </w:rPr>
        <w:lastRenderedPageBreak/>
        <w:t>skepticism about enforceability;</w:t>
      </w:r>
      <w:r w:rsidR="003E1323">
        <w:rPr>
          <w:rStyle w:val="FootnoteReference"/>
          <w:rFonts w:cs="Arial"/>
        </w:rPr>
        <w:footnoteReference w:id="2"/>
      </w:r>
      <w:r w:rsidR="005746FF">
        <w:rPr>
          <w:rFonts w:cs="Arial"/>
        </w:rPr>
        <w:t xml:space="preserve"> perceived </w:t>
      </w:r>
      <w:r w:rsidR="006E7AE4">
        <w:rPr>
          <w:rFonts w:cs="Arial"/>
        </w:rPr>
        <w:t>hypocrisy in the roster of mailable and nonmailable items</w:t>
      </w:r>
      <w:r w:rsidR="00E03BD3">
        <w:rPr>
          <w:rFonts w:cs="Arial"/>
        </w:rPr>
        <w:t>;</w:t>
      </w:r>
      <w:r w:rsidR="006E7AE4">
        <w:rPr>
          <w:rStyle w:val="FootnoteReference"/>
          <w:rFonts w:cs="Arial"/>
        </w:rPr>
        <w:footnoteReference w:id="3"/>
      </w:r>
      <w:r w:rsidR="009B4005">
        <w:rPr>
          <w:rFonts w:cs="Arial"/>
        </w:rPr>
        <w:t xml:space="preserve"> </w:t>
      </w:r>
      <w:r w:rsidR="0057301C">
        <w:rPr>
          <w:rFonts w:cs="Arial"/>
        </w:rPr>
        <w:t xml:space="preserve">and </w:t>
      </w:r>
      <w:r w:rsidR="00464D85">
        <w:rPr>
          <w:rFonts w:cs="Arial"/>
        </w:rPr>
        <w:t xml:space="preserve">concerns </w:t>
      </w:r>
      <w:r w:rsidR="00E03BD3">
        <w:rPr>
          <w:rFonts w:cs="Arial"/>
        </w:rPr>
        <w:t xml:space="preserve">about </w:t>
      </w:r>
      <w:r w:rsidR="00464D85">
        <w:rPr>
          <w:rFonts w:cs="Arial"/>
        </w:rPr>
        <w:t>restriction of</w:t>
      </w:r>
      <w:r w:rsidR="00E86B9A">
        <w:rPr>
          <w:rFonts w:cs="Arial"/>
        </w:rPr>
        <w:t xml:space="preserve"> individual liberty</w:t>
      </w:r>
      <w:r w:rsidR="00464D85">
        <w:rPr>
          <w:rFonts w:cs="Arial"/>
        </w:rPr>
        <w:t>.</w:t>
      </w:r>
    </w:p>
    <w:p w14:paraId="7DC4C5E3" w14:textId="23F998B6" w:rsidR="006E509A" w:rsidRDefault="00EC0A63" w:rsidP="00FD29E0">
      <w:pPr>
        <w:shd w:val="clear" w:color="auto" w:fill="FFFFFF"/>
        <w:ind w:firstLine="720"/>
        <w:rPr>
          <w:rFonts w:cs="Arial"/>
        </w:rPr>
      </w:pPr>
      <w:proofErr w:type="gramStart"/>
      <w:r>
        <w:rPr>
          <w:rFonts w:cs="Arial"/>
        </w:rPr>
        <w:t>A number of</w:t>
      </w:r>
      <w:proofErr w:type="gramEnd"/>
      <w:r>
        <w:rPr>
          <w:rFonts w:cs="Arial"/>
        </w:rPr>
        <w:t xml:space="preserve"> </w:t>
      </w:r>
      <w:r w:rsidR="00E86B9A">
        <w:rPr>
          <w:rFonts w:cs="Arial"/>
        </w:rPr>
        <w:t xml:space="preserve">ENDS consumers and shippers also </w:t>
      </w:r>
      <w:r>
        <w:rPr>
          <w:rFonts w:cs="Arial"/>
        </w:rPr>
        <w:t xml:space="preserve">proposed that the Postal Service implement some alternative </w:t>
      </w:r>
      <w:r w:rsidR="00607AE5">
        <w:rPr>
          <w:rFonts w:cs="Arial"/>
        </w:rPr>
        <w:t>method of regulating the mailability of ENDS products, in lieu of the PACT Act’s ban and exceptions. Proposals included</w:t>
      </w:r>
      <w:r w:rsidR="0064252F">
        <w:rPr>
          <w:rFonts w:cs="Arial"/>
        </w:rPr>
        <w:t xml:space="preserve"> </w:t>
      </w:r>
      <w:r w:rsidR="002E5A77">
        <w:rPr>
          <w:rFonts w:cs="Arial"/>
        </w:rPr>
        <w:t>the following</w:t>
      </w:r>
      <w:r w:rsidR="00607AE5">
        <w:rPr>
          <w:rFonts w:cs="Arial"/>
        </w:rPr>
        <w:t>:</w:t>
      </w:r>
    </w:p>
    <w:p w14:paraId="0F83AD85" w14:textId="166CED96" w:rsidR="00607AE5" w:rsidRDefault="00054564" w:rsidP="00054564">
      <w:pPr>
        <w:pStyle w:val="ListParagraph"/>
      </w:pPr>
      <w:r w:rsidRPr="00054564">
        <w:t xml:space="preserve">Permit the mailing of ENDS products </w:t>
      </w:r>
      <w:r w:rsidR="00326BA7">
        <w:t xml:space="preserve">with </w:t>
      </w:r>
      <w:r w:rsidRPr="00054564">
        <w:t>age verification of recipient</w:t>
      </w:r>
      <w:r>
        <w:t>s</w:t>
      </w:r>
      <w:r w:rsidRPr="00054564">
        <w:t>.</w:t>
      </w:r>
    </w:p>
    <w:p w14:paraId="3179FCA2" w14:textId="555B1E4F" w:rsidR="00326BA7" w:rsidRDefault="00326BA7" w:rsidP="00054564">
      <w:pPr>
        <w:pStyle w:val="ListParagraph"/>
      </w:pPr>
      <w:r>
        <w:t>Permit the mailing of ENDS products with warning labels.</w:t>
      </w:r>
    </w:p>
    <w:p w14:paraId="23A69F9B" w14:textId="3374FA9C" w:rsidR="00470B29" w:rsidRDefault="00470B29" w:rsidP="00054564">
      <w:pPr>
        <w:pStyle w:val="ListParagraph"/>
      </w:pPr>
      <w:r>
        <w:t xml:space="preserve">Permit the mailing of ENDS products under the same conditions </w:t>
      </w:r>
      <w:r w:rsidR="006B052D">
        <w:t>provided for non-postal delivery channels under the Jenkins Act (as amended by section 2 of the PACT Act).</w:t>
      </w:r>
    </w:p>
    <w:p w14:paraId="6AFF83AB" w14:textId="7DEE13C9" w:rsidR="001D468D" w:rsidRDefault="007A34BB" w:rsidP="00054564">
      <w:pPr>
        <w:pStyle w:val="ListParagraph"/>
      </w:pPr>
      <w:r>
        <w:t>Allow the ENDS industry to regulate itself, subject to a requirement to conduct age verification of consumers.</w:t>
      </w:r>
    </w:p>
    <w:p w14:paraId="3A8E8751" w14:textId="5419B7F0" w:rsidR="007A34BB" w:rsidRDefault="00FD6596" w:rsidP="00054564">
      <w:pPr>
        <w:pStyle w:val="ListParagraph"/>
      </w:pPr>
      <w:r>
        <w:t xml:space="preserve">Limit </w:t>
      </w:r>
      <w:r w:rsidR="007A34BB">
        <w:t xml:space="preserve">mailability to ENDS products containing </w:t>
      </w:r>
      <w:r w:rsidR="009F12A8">
        <w:t xml:space="preserve">less </w:t>
      </w:r>
      <w:r w:rsidR="000203B1">
        <w:t>than a specified threshold of nicotine.</w:t>
      </w:r>
    </w:p>
    <w:p w14:paraId="6BFE5AD2" w14:textId="37527A3D" w:rsidR="00B32DCC" w:rsidRDefault="00F4268F" w:rsidP="00054564">
      <w:pPr>
        <w:pStyle w:val="ListParagraph"/>
      </w:pPr>
      <w:r>
        <w:t xml:space="preserve">Limit mailability to </w:t>
      </w:r>
      <w:r w:rsidR="00630B8F">
        <w:t>non-</w:t>
      </w:r>
      <w:r w:rsidR="00B32DCC">
        <w:t xml:space="preserve">nicotine-containing </w:t>
      </w:r>
      <w:r w:rsidR="009F12A8">
        <w:t xml:space="preserve">ENDS </w:t>
      </w:r>
      <w:r w:rsidR="00B32DCC">
        <w:t>products.</w:t>
      </w:r>
    </w:p>
    <w:p w14:paraId="02D78513" w14:textId="57EC1ED9" w:rsidR="007A34BB" w:rsidRDefault="00630B8F" w:rsidP="00054564">
      <w:pPr>
        <w:pStyle w:val="ListParagraph"/>
      </w:pPr>
      <w:r>
        <w:t xml:space="preserve">Limit mailability to </w:t>
      </w:r>
      <w:proofErr w:type="gramStart"/>
      <w:r w:rsidR="007A34BB">
        <w:t>single-use</w:t>
      </w:r>
      <w:proofErr w:type="gramEnd"/>
      <w:r w:rsidR="007A34BB">
        <w:t xml:space="preserve"> ENDS products.</w:t>
      </w:r>
    </w:p>
    <w:p w14:paraId="107E26DB" w14:textId="533583AC" w:rsidR="00F41DD0" w:rsidRDefault="00D15B1F" w:rsidP="00F41DD0">
      <w:pPr>
        <w:pStyle w:val="ListParagraph"/>
      </w:pPr>
      <w:r>
        <w:lastRenderedPageBreak/>
        <w:t xml:space="preserve">Scale </w:t>
      </w:r>
      <w:r w:rsidR="006A4157">
        <w:t xml:space="preserve">mailability </w:t>
      </w:r>
      <w:r>
        <w:t xml:space="preserve">restrictions </w:t>
      </w:r>
      <w:r w:rsidR="006A4157">
        <w:t>according to a policy-based hazard assessment of the product, shipper, and recipient.</w:t>
      </w:r>
    </w:p>
    <w:p w14:paraId="21867466" w14:textId="5B6988DA" w:rsidR="00AB449D" w:rsidRDefault="00AB449D" w:rsidP="00F4580B">
      <w:pPr>
        <w:ind w:firstLine="720"/>
      </w:pPr>
      <w:r>
        <w:t>In addition, some public-health-oriented commenters and law students</w:t>
      </w:r>
      <w:r w:rsidR="0069473B">
        <w:t xml:space="preserve">, as well as some </w:t>
      </w:r>
      <w:r w:rsidR="009F12A8">
        <w:t>F</w:t>
      </w:r>
      <w:r w:rsidR="0069473B">
        <w:t xml:space="preserve">ederal </w:t>
      </w:r>
      <w:r w:rsidR="009F12A8">
        <w:t xml:space="preserve">agency partners </w:t>
      </w:r>
      <w:r w:rsidR="0069473B">
        <w:t xml:space="preserve">with which the Postal Service consulted, proposed that the Postal Service ensure that ENDS products can be shipped </w:t>
      </w:r>
      <w:r w:rsidR="0009604E">
        <w:t>in circumstances not covered by any statutory exception, such as between public-health researchers and individual test</w:t>
      </w:r>
      <w:r w:rsidR="009C0ED0">
        <w:t xml:space="preserve"> subjects</w:t>
      </w:r>
      <w:r w:rsidR="0085284B">
        <w:t xml:space="preserve">; </w:t>
      </w:r>
      <w:r w:rsidR="009C0ED0">
        <w:t xml:space="preserve">between governmental actors for enforcement, investigative, or testing purposes; and from the government </w:t>
      </w:r>
      <w:r w:rsidR="003F4ACC">
        <w:t xml:space="preserve">to </w:t>
      </w:r>
      <w:r w:rsidR="009C0ED0">
        <w:t>non-governmental public-health entities.</w:t>
      </w:r>
      <w:r w:rsidR="008D0716">
        <w:t xml:space="preserve"> </w:t>
      </w:r>
      <w:r w:rsidR="007E10D3">
        <w:t xml:space="preserve">These commenters </w:t>
      </w:r>
      <w:r w:rsidR="00C0523C">
        <w:t xml:space="preserve">invoked the </w:t>
      </w:r>
      <w:r w:rsidR="00C4558C">
        <w:t>interests of</w:t>
      </w:r>
      <w:r w:rsidR="00C0523C">
        <w:t xml:space="preserve"> promot</w:t>
      </w:r>
      <w:r w:rsidR="00C4558C">
        <w:t xml:space="preserve">ing public-health research </w:t>
      </w:r>
      <w:r w:rsidR="00D039BB">
        <w:t xml:space="preserve">into </w:t>
      </w:r>
      <w:r w:rsidR="00C4558C">
        <w:t>and effective regulation</w:t>
      </w:r>
      <w:r w:rsidR="00D039BB">
        <w:t xml:space="preserve"> of ENDS products</w:t>
      </w:r>
      <w:r w:rsidR="00C4558C">
        <w:t>.</w:t>
      </w:r>
      <w:r w:rsidR="00A72276">
        <w:t xml:space="preserve"> </w:t>
      </w:r>
      <w:r w:rsidR="00353E39">
        <w:t>Many of t</w:t>
      </w:r>
      <w:r w:rsidR="00A72276">
        <w:t xml:space="preserve">hese </w:t>
      </w:r>
      <w:r w:rsidR="00353E39">
        <w:t xml:space="preserve">stakeholders </w:t>
      </w:r>
      <w:r w:rsidR="00A72276">
        <w:t xml:space="preserve">also urged the Postal Service to </w:t>
      </w:r>
      <w:r w:rsidR="00B67574">
        <w:t xml:space="preserve">allow use of the </w:t>
      </w:r>
      <w:r w:rsidR="00A72276">
        <w:t>Public Health exception for ENDS products on policy grounds</w:t>
      </w:r>
      <w:r w:rsidR="00426712">
        <w:t xml:space="preserve"> and to allow ENDS-industry businesses to ship ENDS products to governmental actors for any regulatory purpose</w:t>
      </w:r>
      <w:r w:rsidR="007E4D51">
        <w:t xml:space="preserve">, without regard to the statutory parameters </w:t>
      </w:r>
      <w:r w:rsidR="00BB79B5">
        <w:t>of the existing PACT Act exceptions</w:t>
      </w:r>
      <w:r w:rsidR="00A72276">
        <w:t>.</w:t>
      </w:r>
    </w:p>
    <w:p w14:paraId="1BA42021" w14:textId="18E81B4D" w:rsidR="00C966A1" w:rsidRDefault="00C966A1" w:rsidP="00F4580B">
      <w:pPr>
        <w:ind w:firstLine="720"/>
      </w:pPr>
      <w:r>
        <w:t xml:space="preserve">Finally, </w:t>
      </w:r>
      <w:r w:rsidR="00456EBC">
        <w:t>a number of commenters of varying orientations</w:t>
      </w:r>
      <w:r w:rsidR="00D1044B">
        <w:t>—</w:t>
      </w:r>
      <w:r w:rsidR="00456EBC">
        <w:t>including some in the ENDS industry</w:t>
      </w:r>
      <w:r w:rsidR="00D1044B">
        <w:t>—</w:t>
      </w:r>
      <w:r w:rsidR="00456EBC">
        <w:t xml:space="preserve">acknowledged that </w:t>
      </w:r>
      <w:r w:rsidR="008900F2">
        <w:t xml:space="preserve">the POSECCA charges the Postal Service merely with incorporating ENDS products into the existing PACT Act framework, rather than authorizing it to </w:t>
      </w:r>
      <w:r w:rsidR="00600267">
        <w:t xml:space="preserve">revisit and </w:t>
      </w:r>
      <w:r w:rsidR="008900F2">
        <w:t>alter that framework.</w:t>
      </w:r>
    </w:p>
    <w:p w14:paraId="6C76C440" w14:textId="0C8FF78D" w:rsidR="00C11C7D" w:rsidRDefault="00600267" w:rsidP="00F4580B">
      <w:pPr>
        <w:ind w:firstLine="720"/>
      </w:pPr>
      <w:r>
        <w:t xml:space="preserve">The latter group of commenters is correct: </w:t>
      </w:r>
      <w:r w:rsidR="00ED362E">
        <w:t xml:space="preserve">in this context, </w:t>
      </w:r>
      <w:r>
        <w:t>t</w:t>
      </w:r>
      <w:r w:rsidR="00C11C7D">
        <w:t xml:space="preserve">he Postal Service lacks the authority to </w:t>
      </w:r>
      <w:r>
        <w:t xml:space="preserve">adopt a </w:t>
      </w:r>
      <w:r w:rsidR="00076E90">
        <w:t>regulatory scheme different from what Congress has prescribed</w:t>
      </w:r>
      <w:r w:rsidR="00C11C7D">
        <w:t xml:space="preserve">. </w:t>
      </w:r>
      <w:r w:rsidR="007123AF">
        <w:t>In general, t</w:t>
      </w:r>
      <w:r w:rsidR="00C11C7D">
        <w:t xml:space="preserve">he Postal Service, as part of the Executive Branch, is bound to faithfully execute the laws enacted by Congress and can act </w:t>
      </w:r>
      <w:r w:rsidR="00C11C7D">
        <w:lastRenderedPageBreak/>
        <w:t>only within the scope of discretion that Congress has delegated to it. U.S. Const</w:t>
      </w:r>
      <w:r w:rsidR="0029454E">
        <w:t>itution</w:t>
      </w:r>
      <w:r w:rsidR="00C11C7D">
        <w:t xml:space="preserve"> art</w:t>
      </w:r>
      <w:r w:rsidR="0029454E">
        <w:t>icle</w:t>
      </w:r>
      <w:r w:rsidR="00C11C7D">
        <w:t xml:space="preserve"> I,</w:t>
      </w:r>
      <w:r w:rsidR="0029454E">
        <w:t xml:space="preserve"> section</w:t>
      </w:r>
      <w:r w:rsidR="00425A52">
        <w:t> </w:t>
      </w:r>
      <w:r w:rsidR="00C11C7D">
        <w:t xml:space="preserve">1; </w:t>
      </w:r>
      <w:r w:rsidR="00C11C7D" w:rsidRPr="003236E2">
        <w:rPr>
          <w:i/>
          <w:iCs/>
        </w:rPr>
        <w:t>id.</w:t>
      </w:r>
      <w:r w:rsidR="00C11C7D">
        <w:t xml:space="preserve"> at art</w:t>
      </w:r>
      <w:r w:rsidR="0029454E">
        <w:t>icle</w:t>
      </w:r>
      <w:r w:rsidR="00C11C7D">
        <w:t xml:space="preserve"> II, </w:t>
      </w:r>
      <w:r w:rsidR="0029454E">
        <w:t>section</w:t>
      </w:r>
      <w:r w:rsidR="00425A52">
        <w:t> </w:t>
      </w:r>
      <w:r w:rsidR="00C11C7D">
        <w:t xml:space="preserve">3; </w:t>
      </w:r>
      <w:r w:rsidR="00C11C7D" w:rsidRPr="00AF27CF">
        <w:t>see, e.g.</w:t>
      </w:r>
      <w:r w:rsidR="00C11C7D">
        <w:t xml:space="preserve">, </w:t>
      </w:r>
      <w:r w:rsidR="00C11C7D" w:rsidRPr="00F4580B">
        <w:rPr>
          <w:i/>
          <w:iCs/>
        </w:rPr>
        <w:t>Gundy v. United States</w:t>
      </w:r>
      <w:r w:rsidR="00C11C7D">
        <w:t xml:space="preserve">, __ U.S. __, __, 139 S. Ct. 2116, 2123 (2019). The PACT Act expressly provides that cigarettes </w:t>
      </w:r>
      <w:r w:rsidR="005C48E8">
        <w:t xml:space="preserve">and smokeless tobacco </w:t>
      </w:r>
      <w:r w:rsidR="00C11C7D">
        <w:t>are generally nonmailable, that the Postal Service generally may not accept them for delivery or transmit them through the mails, and that those prohibitions give way only in circumstances defined by a number of statutory parameters and conditions. 18</w:t>
      </w:r>
      <w:r w:rsidR="005C48E8">
        <w:t> </w:t>
      </w:r>
      <w:r w:rsidR="00C11C7D">
        <w:t>U.S.C. 1716E(a)</w:t>
      </w:r>
      <w:r w:rsidR="001518E7">
        <w:t>–</w:t>
      </w:r>
      <w:r w:rsidR="00C11C7D">
        <w:t xml:space="preserve">(b). The POSECCA extends that treatment to ENDS products by including them within the term “cigarette.” POSECCA </w:t>
      </w:r>
      <w:r w:rsidR="0029454E">
        <w:t>section</w:t>
      </w:r>
      <w:r w:rsidR="00425A52">
        <w:t> </w:t>
      </w:r>
      <w:r w:rsidR="00C11C7D">
        <w:t>602(a)(1)(C).</w:t>
      </w:r>
    </w:p>
    <w:p w14:paraId="2A53D4D6" w14:textId="5C468AF2" w:rsidR="00475B48" w:rsidRPr="000C5C04" w:rsidRDefault="00C11C7D" w:rsidP="008A148E">
      <w:pPr>
        <w:ind w:firstLine="720"/>
      </w:pPr>
      <w:r>
        <w:t>Neither the PACT Act nor the POSECCA includes any provision authorizing the Postal Service to waive the mailing ban for ENDS products or any other subcategory of “cigarettes,” with or without other regulatory conditions devised by the Postal Service (e.g., age verification, nicotine limits).</w:t>
      </w:r>
      <w:r w:rsidR="00F300DC">
        <w:t xml:space="preserve"> In particular, the POSECCA charges the Postal Service only with “clarif</w:t>
      </w:r>
      <w:r w:rsidR="0059055C">
        <w:t>y[</w:t>
      </w:r>
      <w:proofErr w:type="spellStart"/>
      <w:r w:rsidR="0059055C">
        <w:t>ing</w:t>
      </w:r>
      <w:proofErr w:type="spellEnd"/>
      <w:r w:rsidR="0059055C">
        <w:t>] the applicability” of the PACT Act’s mailing ban to ENDS products. POSECCA section 603(a).</w:t>
      </w:r>
      <w:r w:rsidR="00D75FE1">
        <w:t xml:space="preserve"> </w:t>
      </w:r>
      <w:r w:rsidR="00F55F34">
        <w:t>Clarification</w:t>
      </w:r>
      <w:r w:rsidR="00FF198B">
        <w:t xml:space="preserve"> means to make </w:t>
      </w:r>
      <w:r w:rsidR="004C53FA">
        <w:t xml:space="preserve">something </w:t>
      </w:r>
      <w:r w:rsidR="00D75FE1">
        <w:t>clear</w:t>
      </w:r>
      <w:r w:rsidR="00F55F34">
        <w:t xml:space="preserve"> or understandable</w:t>
      </w:r>
      <w:r w:rsidR="00FF198B">
        <w:t xml:space="preserve"> </w:t>
      </w:r>
      <w:r w:rsidR="004C53FA">
        <w:t>or to dispel confusion, presupposing the pre-establishment of the pro</w:t>
      </w:r>
      <w:r w:rsidR="00135FD7">
        <w:t xml:space="preserve">position </w:t>
      </w:r>
      <w:r w:rsidR="004C53FA">
        <w:t>being clarified</w:t>
      </w:r>
      <w:r w:rsidR="00FF198B">
        <w:t xml:space="preserve">: a </w:t>
      </w:r>
      <w:r w:rsidR="00F55F34">
        <w:t xml:space="preserve">self-evidently </w:t>
      </w:r>
      <w:r w:rsidR="00095F5E">
        <w:t xml:space="preserve">modest task that falls far short of substantive </w:t>
      </w:r>
      <w:r w:rsidR="00135FD7">
        <w:t xml:space="preserve">change </w:t>
      </w:r>
      <w:r w:rsidR="004A2E7C">
        <w:t xml:space="preserve">to </w:t>
      </w:r>
      <w:r w:rsidR="00135FD7">
        <w:t xml:space="preserve">that </w:t>
      </w:r>
      <w:r w:rsidR="004C53FA">
        <w:t>pro</w:t>
      </w:r>
      <w:r w:rsidR="00135FD7">
        <w:t>position</w:t>
      </w:r>
      <w:r w:rsidR="00095F5E">
        <w:t>.</w:t>
      </w:r>
      <w:r w:rsidR="00E27BED">
        <w:t xml:space="preserve"> See </w:t>
      </w:r>
      <w:r w:rsidR="00BB79B5">
        <w:t>C</w:t>
      </w:r>
      <w:r w:rsidR="00E27BED">
        <w:t>larify, Merriam-Webster.</w:t>
      </w:r>
      <w:r w:rsidR="00E27BED" w:rsidRPr="004C53FA">
        <w:t>com (</w:t>
      </w:r>
      <w:r w:rsidR="00E27BED" w:rsidRPr="003C4794">
        <w:t xml:space="preserve">last visited </w:t>
      </w:r>
      <w:r w:rsidR="004C53FA">
        <w:t>Oct. 14</w:t>
      </w:r>
      <w:r w:rsidR="00C904E5" w:rsidRPr="003C4794">
        <w:t>, 2021</w:t>
      </w:r>
      <w:r w:rsidR="00E27BED" w:rsidRPr="004C53FA">
        <w:t>).</w:t>
      </w:r>
      <w:r>
        <w:t xml:space="preserve"> As such, whatever policy judgments the Postal Service might reach as to public-health effects, commercial impact, </w:t>
      </w:r>
      <w:r w:rsidR="00036BA8">
        <w:t xml:space="preserve">the </w:t>
      </w:r>
      <w:r w:rsidR="008148AE">
        <w:t>need to facilitate effective regulation</w:t>
      </w:r>
      <w:r w:rsidR="00036BA8">
        <w:t xml:space="preserve">, </w:t>
      </w:r>
      <w:r>
        <w:t xml:space="preserve">or other considerations, those judgments have already been made by Congress in </w:t>
      </w:r>
      <w:r>
        <w:lastRenderedPageBreak/>
        <w:t>legislating that ENDS products cannot be mailed</w:t>
      </w:r>
      <w:r w:rsidR="00274F1D">
        <w:t xml:space="preserve"> except in statutorily prescribed circumstances</w:t>
      </w:r>
      <w:r>
        <w:t>.</w:t>
      </w:r>
    </w:p>
    <w:p w14:paraId="12060A2D" w14:textId="483E6BBA" w:rsidR="008A148E" w:rsidRDefault="00C11C7D" w:rsidP="008A148E">
      <w:pPr>
        <w:ind w:firstLine="720"/>
      </w:pPr>
      <w:r>
        <w:t xml:space="preserve">Congress could have left ENDS products mailable, subjected them to alternative restrictions (as </w:t>
      </w:r>
      <w:r w:rsidR="004A2E7C">
        <w:t xml:space="preserve">section 2 of the PACT Act does </w:t>
      </w:r>
      <w:r>
        <w:t>for non-postal delivery carriers), or delegated authority to the Postal Service to grant waivers</w:t>
      </w:r>
      <w:r w:rsidR="008148AE">
        <w:t>, create new exceptions,</w:t>
      </w:r>
      <w:r>
        <w:t xml:space="preserve"> or devise </w:t>
      </w:r>
      <w:r w:rsidR="008148AE">
        <w:t xml:space="preserve">some other </w:t>
      </w:r>
      <w:r>
        <w:t xml:space="preserve">appropriate mailability scheme. </w:t>
      </w:r>
      <w:r w:rsidRPr="00AF27CF">
        <w:t>Cf.</w:t>
      </w:r>
      <w:r>
        <w:t xml:space="preserve"> 18</w:t>
      </w:r>
      <w:r w:rsidR="005C524F">
        <w:t> </w:t>
      </w:r>
      <w:r>
        <w:t>U.S.C. 1716(b)</w:t>
      </w:r>
      <w:r w:rsidR="00BB79B5">
        <w:t>–</w:t>
      </w:r>
      <w:r>
        <w:t xml:space="preserve">(e) (authorizing the Postal Service to permit or limit the mailing of potentially hazardous materials); 39 U.S.C. 3018(b) (giving the Postal Service discretion to declare hazardous materials to be nonmailable or to restrict the time, place, and manner of their mailing). Yet Congress did none of those things. Instead, it chose to bar the Postal Service from carrying ENDS products, except pursuant to a limited set of specifically delineated statutory exceptions. </w:t>
      </w:r>
      <w:r w:rsidRPr="00AF27CF">
        <w:t>See</w:t>
      </w:r>
      <w:r>
        <w:t xml:space="preserve"> Treatment of Cigarettes and Smokeless Tobacco as Nonmailable Matter, 75</w:t>
      </w:r>
      <w:r w:rsidR="008605E1">
        <w:t> </w:t>
      </w:r>
      <w:r w:rsidR="007A54C0">
        <w:t>FR</w:t>
      </w:r>
      <w:r>
        <w:t xml:space="preserve"> 29662, 29664 (2010)</w:t>
      </w:r>
      <w:r w:rsidR="004C53FA">
        <w:t xml:space="preserve"> (notice of final rule)</w:t>
      </w:r>
      <w:r w:rsidR="007E6AB9">
        <w:t xml:space="preserve">; </w:t>
      </w:r>
      <w:r w:rsidR="007E6AB9" w:rsidRPr="00AF27CF">
        <w:t>see also</w:t>
      </w:r>
      <w:r w:rsidR="007E6AB9">
        <w:rPr>
          <w:i/>
          <w:iCs/>
        </w:rPr>
        <w:t xml:space="preserve"> Gordon v. Holder</w:t>
      </w:r>
      <w:r w:rsidR="007E6AB9">
        <w:t xml:space="preserve">, </w:t>
      </w:r>
      <w:r w:rsidR="003B7047">
        <w:t>721 F.3d 638, 657 (D.C. Cir. 2013) (declining</w:t>
      </w:r>
      <w:r w:rsidR="00CD3422">
        <w:t>, on rational basis review,</w:t>
      </w:r>
      <w:r w:rsidR="003B7047">
        <w:t xml:space="preserve"> to “second-guess the wisdom of [Congress’s] choice” to </w:t>
      </w:r>
      <w:r w:rsidR="00983728">
        <w:t>enact the PACT Act’s mailing ban in lieu of some alternative measure</w:t>
      </w:r>
      <w:r w:rsidR="003B7047">
        <w:t>)</w:t>
      </w:r>
      <w:r>
        <w:t>.</w:t>
      </w:r>
      <w:r w:rsidR="008A148E">
        <w:t xml:space="preserve"> </w:t>
      </w:r>
    </w:p>
    <w:p w14:paraId="50DA48B9" w14:textId="40FC0C4F" w:rsidR="001659C5" w:rsidRDefault="001659C5" w:rsidP="001659C5">
      <w:pPr>
        <w:shd w:val="clear" w:color="auto" w:fill="FFFFFF"/>
        <w:ind w:firstLine="720"/>
        <w:rPr>
          <w:rFonts w:cs="Arial"/>
        </w:rPr>
      </w:pPr>
      <w:r>
        <w:rPr>
          <w:rFonts w:cs="Arial"/>
        </w:rPr>
        <w:t>In sum, arguments to relax the PACT Act’s application to ENDS products on policy grounds are misdirected to the Postal Service. Whatever the merits of ENDS products generally or the anticipated effects of the POSECCA, the forum for that debate is Congress, which has declined to delegate, and thus has reserved to itself, policy discretion over the pertinent parameters.</w:t>
      </w:r>
    </w:p>
    <w:p w14:paraId="04092646" w14:textId="5C5CCA59" w:rsidR="007B669F" w:rsidRPr="000D3A79" w:rsidRDefault="001F2D7E" w:rsidP="000D3A79">
      <w:pPr>
        <w:ind w:left="720" w:firstLine="720"/>
        <w:rPr>
          <w:b/>
          <w:bCs/>
        </w:rPr>
      </w:pPr>
      <w:r w:rsidRPr="000D3A79">
        <w:rPr>
          <w:b/>
          <w:bCs/>
        </w:rPr>
        <w:t>2.</w:t>
      </w:r>
      <w:r w:rsidRPr="000D3A79">
        <w:rPr>
          <w:b/>
          <w:bCs/>
        </w:rPr>
        <w:tab/>
      </w:r>
      <w:bookmarkStart w:id="9" w:name="_Toc79569797"/>
      <w:r w:rsidR="00B051CB" w:rsidRPr="000D3A79">
        <w:rPr>
          <w:b/>
          <w:bCs/>
        </w:rPr>
        <w:t xml:space="preserve">Extra-statutory </w:t>
      </w:r>
      <w:r w:rsidR="007B669F" w:rsidRPr="000D3A79">
        <w:rPr>
          <w:b/>
          <w:bCs/>
        </w:rPr>
        <w:t>Restrict</w:t>
      </w:r>
      <w:r w:rsidR="00B051CB" w:rsidRPr="000D3A79">
        <w:rPr>
          <w:b/>
          <w:bCs/>
        </w:rPr>
        <w:t>ion of</w:t>
      </w:r>
      <w:r w:rsidR="007B669F" w:rsidRPr="000D3A79">
        <w:rPr>
          <w:b/>
          <w:bCs/>
        </w:rPr>
        <w:t xml:space="preserve"> Mailability</w:t>
      </w:r>
      <w:bookmarkEnd w:id="9"/>
    </w:p>
    <w:p w14:paraId="42B177AB" w14:textId="06E210E0" w:rsidR="00366B08" w:rsidRDefault="001F0B8E" w:rsidP="00F41DD0">
      <w:pPr>
        <w:shd w:val="clear" w:color="auto" w:fill="FFFFFF"/>
        <w:ind w:firstLine="720"/>
        <w:rPr>
          <w:rFonts w:cs="Arial"/>
        </w:rPr>
      </w:pPr>
      <w:r>
        <w:rPr>
          <w:rFonts w:cs="Arial"/>
        </w:rPr>
        <w:lastRenderedPageBreak/>
        <w:t>Conversely, some public-health-oriented commenters</w:t>
      </w:r>
      <w:r w:rsidR="00BA2FC4">
        <w:rPr>
          <w:rFonts w:cs="Arial"/>
        </w:rPr>
        <w:t xml:space="preserve">, </w:t>
      </w:r>
      <w:r w:rsidR="00263C85">
        <w:rPr>
          <w:rFonts w:cs="Arial"/>
        </w:rPr>
        <w:t>S</w:t>
      </w:r>
      <w:r w:rsidR="00BA2FC4">
        <w:rPr>
          <w:rFonts w:cs="Arial"/>
        </w:rPr>
        <w:t>tate and local attorneys general,</w:t>
      </w:r>
      <w:r>
        <w:rPr>
          <w:rFonts w:cs="Arial"/>
        </w:rPr>
        <w:t xml:space="preserve"> </w:t>
      </w:r>
      <w:r w:rsidR="00342BC9">
        <w:rPr>
          <w:rFonts w:cs="Arial"/>
        </w:rPr>
        <w:t>law students</w:t>
      </w:r>
      <w:r w:rsidR="00766C5E">
        <w:rPr>
          <w:rFonts w:cs="Arial"/>
        </w:rPr>
        <w:t>, and other individual commenters</w:t>
      </w:r>
      <w:r w:rsidR="00342BC9">
        <w:rPr>
          <w:rFonts w:cs="Arial"/>
        </w:rPr>
        <w:t xml:space="preserve"> </w:t>
      </w:r>
      <w:r w:rsidR="009E4251">
        <w:rPr>
          <w:rFonts w:cs="Arial"/>
        </w:rPr>
        <w:t xml:space="preserve">(collectively, “anti-ENDS </w:t>
      </w:r>
      <w:r w:rsidR="00B57D6F">
        <w:rPr>
          <w:rFonts w:cs="Arial"/>
        </w:rPr>
        <w:t>commenters</w:t>
      </w:r>
      <w:r w:rsidR="009E4251">
        <w:rPr>
          <w:rFonts w:cs="Arial"/>
        </w:rPr>
        <w:t xml:space="preserve">”) </w:t>
      </w:r>
      <w:r w:rsidR="00342BC9">
        <w:rPr>
          <w:rFonts w:cs="Arial"/>
        </w:rPr>
        <w:t xml:space="preserve">urged the Postal Service to deny </w:t>
      </w:r>
      <w:r w:rsidR="00412A47">
        <w:rPr>
          <w:rFonts w:cs="Arial"/>
        </w:rPr>
        <w:t xml:space="preserve">or restrict the </w:t>
      </w:r>
      <w:r w:rsidR="00342BC9">
        <w:rPr>
          <w:rFonts w:cs="Arial"/>
        </w:rPr>
        <w:t>application of the PACT Act’s exceptions to ENDS products</w:t>
      </w:r>
      <w:r w:rsidR="00E25201">
        <w:rPr>
          <w:rFonts w:cs="Arial"/>
        </w:rPr>
        <w:t>, due to concerns about hazardous materials, controlled substances, public health</w:t>
      </w:r>
      <w:r w:rsidR="00412A47">
        <w:rPr>
          <w:rFonts w:cs="Arial"/>
        </w:rPr>
        <w:t xml:space="preserve">, </w:t>
      </w:r>
      <w:r w:rsidR="009A68B2">
        <w:rPr>
          <w:rFonts w:cs="Arial"/>
        </w:rPr>
        <w:t xml:space="preserve">youth access, </w:t>
      </w:r>
      <w:r w:rsidR="00412A47">
        <w:rPr>
          <w:rFonts w:cs="Arial"/>
        </w:rPr>
        <w:t xml:space="preserve">and the </w:t>
      </w:r>
      <w:r w:rsidR="00BA2FC4">
        <w:rPr>
          <w:rFonts w:cs="Arial"/>
        </w:rPr>
        <w:t xml:space="preserve">purported </w:t>
      </w:r>
      <w:r w:rsidR="00412A47">
        <w:rPr>
          <w:rFonts w:cs="Arial"/>
        </w:rPr>
        <w:t xml:space="preserve">risk of </w:t>
      </w:r>
      <w:r w:rsidR="00BA2FC4">
        <w:rPr>
          <w:rFonts w:cs="Arial"/>
        </w:rPr>
        <w:t>circumventing law enforcement</w:t>
      </w:r>
      <w:r w:rsidR="00E25201">
        <w:rPr>
          <w:rFonts w:cs="Arial"/>
        </w:rPr>
        <w:t>.</w:t>
      </w:r>
    </w:p>
    <w:p w14:paraId="73A3B3AA" w14:textId="69C199B7" w:rsidR="003A3BBB" w:rsidRDefault="001659C5" w:rsidP="00F41DD0">
      <w:pPr>
        <w:shd w:val="clear" w:color="auto" w:fill="FFFFFF"/>
        <w:ind w:firstLine="720"/>
        <w:rPr>
          <w:rFonts w:cs="Arial"/>
        </w:rPr>
      </w:pPr>
      <w:r>
        <w:rPr>
          <w:rFonts w:cs="Arial"/>
        </w:rPr>
        <w:t xml:space="preserve">For </w:t>
      </w:r>
      <w:r w:rsidR="001B220F">
        <w:rPr>
          <w:rFonts w:cs="Arial"/>
        </w:rPr>
        <w:t xml:space="preserve">the </w:t>
      </w:r>
      <w:r>
        <w:rPr>
          <w:rFonts w:cs="Arial"/>
        </w:rPr>
        <w:t>reasons discussed in the preceding section</w:t>
      </w:r>
      <w:r w:rsidR="00331159">
        <w:rPr>
          <w:rFonts w:cs="Arial"/>
        </w:rPr>
        <w:t xml:space="preserve">, neither the PACT Act nor the POSECCA </w:t>
      </w:r>
      <w:r w:rsidR="00665BE7">
        <w:rPr>
          <w:rFonts w:cs="Arial"/>
        </w:rPr>
        <w:t xml:space="preserve">authorizes </w:t>
      </w:r>
      <w:r w:rsidR="00331159">
        <w:rPr>
          <w:rFonts w:cs="Arial"/>
        </w:rPr>
        <w:t xml:space="preserve">the Postal Service </w:t>
      </w:r>
      <w:r w:rsidR="00665BE7">
        <w:rPr>
          <w:rFonts w:cs="Arial"/>
        </w:rPr>
        <w:t>to make policy judgments to narrow or rescind the availability of the statutory exceptions.</w:t>
      </w:r>
      <w:r w:rsidR="009610D0">
        <w:rPr>
          <w:rFonts w:cs="Arial"/>
        </w:rPr>
        <w:t xml:space="preserve"> </w:t>
      </w:r>
      <w:r w:rsidR="009610D0" w:rsidRPr="00AF27CF">
        <w:rPr>
          <w:rFonts w:cs="Arial"/>
        </w:rPr>
        <w:t>Cf.</w:t>
      </w:r>
      <w:r w:rsidR="009610D0">
        <w:rPr>
          <w:rFonts w:cs="Arial"/>
        </w:rPr>
        <w:t xml:space="preserve"> 18 U.S.C. 1716(</w:t>
      </w:r>
      <w:r w:rsidR="00853398">
        <w:rPr>
          <w:rFonts w:cs="Arial"/>
        </w:rPr>
        <w:t>d)</w:t>
      </w:r>
      <w:r w:rsidR="00BB79B5">
        <w:rPr>
          <w:rFonts w:cs="Arial"/>
        </w:rPr>
        <w:t>–</w:t>
      </w:r>
      <w:r w:rsidR="00853398">
        <w:rPr>
          <w:rFonts w:cs="Arial"/>
        </w:rPr>
        <w:t>(e).</w:t>
      </w:r>
      <w:r w:rsidR="00665BE7">
        <w:rPr>
          <w:rFonts w:cs="Arial"/>
        </w:rPr>
        <w:t xml:space="preserve"> The parameters of the exceptions are </w:t>
      </w:r>
      <w:r w:rsidR="005A4497">
        <w:rPr>
          <w:rFonts w:cs="Arial"/>
        </w:rPr>
        <w:t xml:space="preserve">expressly set forth in the statute. </w:t>
      </w:r>
      <w:r w:rsidR="00CB35D6">
        <w:rPr>
          <w:rFonts w:cs="Arial"/>
        </w:rPr>
        <w:t>Notwithstanding some limited interpretive and administrative latitude</w:t>
      </w:r>
      <w:r w:rsidR="00171736">
        <w:rPr>
          <w:rFonts w:cs="Arial"/>
        </w:rPr>
        <w:t xml:space="preserve"> in implementing the statute</w:t>
      </w:r>
      <w:r w:rsidR="00936600">
        <w:rPr>
          <w:rFonts w:cs="Arial"/>
        </w:rPr>
        <w:t xml:space="preserve">, </w:t>
      </w:r>
      <w:r w:rsidR="005A4497">
        <w:rPr>
          <w:rFonts w:cs="Arial"/>
        </w:rPr>
        <w:t xml:space="preserve">the Postal Service cannot repeal, disregard, or amend </w:t>
      </w:r>
      <w:r w:rsidR="00936600">
        <w:rPr>
          <w:rFonts w:cs="Arial"/>
        </w:rPr>
        <w:t xml:space="preserve">the statute’s explicit </w:t>
      </w:r>
      <w:r w:rsidR="005A4497">
        <w:rPr>
          <w:rFonts w:cs="Arial"/>
        </w:rPr>
        <w:t>parameters</w:t>
      </w:r>
      <w:r w:rsidR="00DA55C0">
        <w:rPr>
          <w:rFonts w:cs="Arial"/>
        </w:rPr>
        <w:t xml:space="preserve"> on policy grounds</w:t>
      </w:r>
      <w:r w:rsidR="005A4497">
        <w:rPr>
          <w:rFonts w:cs="Arial"/>
        </w:rPr>
        <w:t>.</w:t>
      </w:r>
      <w:r>
        <w:rPr>
          <w:rFonts w:cs="Arial"/>
        </w:rPr>
        <w:t xml:space="preserve"> Like policy arguments to relax the PACT Act for ENDS products, policy arguments to tighten it </w:t>
      </w:r>
      <w:r w:rsidR="009752C5">
        <w:rPr>
          <w:rFonts w:cs="Arial"/>
        </w:rPr>
        <w:t>should be directed to Congress, not the Postal Service.</w:t>
      </w:r>
      <w:r w:rsidR="00E45E5E">
        <w:rPr>
          <w:rFonts w:cs="Arial"/>
        </w:rPr>
        <w:t xml:space="preserve"> </w:t>
      </w:r>
      <w:r w:rsidR="00E45E5E" w:rsidRPr="00AF27CF">
        <w:t>See</w:t>
      </w:r>
      <w:r w:rsidR="00E45E5E">
        <w:rPr>
          <w:i/>
          <w:iCs/>
        </w:rPr>
        <w:t xml:space="preserve"> United States v. Rodgers</w:t>
      </w:r>
      <w:r w:rsidR="00E45E5E">
        <w:t>, 466 U.S. 475, 484 (1984) (“Resolution of the pros and cons of whether a statute should sweep broadly or narrowly is for Congress.”).</w:t>
      </w:r>
    </w:p>
    <w:p w14:paraId="2E90ABD0" w14:textId="194D5230" w:rsidR="00F21930" w:rsidRDefault="00D9777E" w:rsidP="00F41DD0">
      <w:pPr>
        <w:shd w:val="clear" w:color="auto" w:fill="FFFFFF"/>
        <w:ind w:firstLine="720"/>
        <w:rPr>
          <w:rFonts w:cs="Arial"/>
        </w:rPr>
      </w:pPr>
      <w:r>
        <w:rPr>
          <w:rFonts w:cs="Arial"/>
        </w:rPr>
        <w:t xml:space="preserve">Moreover, the </w:t>
      </w:r>
      <w:r w:rsidR="00B57D6F">
        <w:rPr>
          <w:rFonts w:cs="Arial"/>
        </w:rPr>
        <w:t xml:space="preserve">public-health and worker-safety </w:t>
      </w:r>
      <w:r>
        <w:rPr>
          <w:rFonts w:cs="Arial"/>
        </w:rPr>
        <w:t>concerns raised by</w:t>
      </w:r>
      <w:r w:rsidR="009E4251">
        <w:rPr>
          <w:rFonts w:cs="Arial"/>
        </w:rPr>
        <w:t xml:space="preserve"> certain</w:t>
      </w:r>
      <w:r>
        <w:rPr>
          <w:rFonts w:cs="Arial"/>
        </w:rPr>
        <w:t xml:space="preserve"> public-health-oriented commenters are already addressed by statutes and regulations independent of the PACT Act. As noted in the April 2021 Guidance, </w:t>
      </w:r>
      <w:r w:rsidR="007E4F25">
        <w:rPr>
          <w:rFonts w:cs="Arial"/>
        </w:rPr>
        <w:t xml:space="preserve">ENDS products that constitute </w:t>
      </w:r>
      <w:r w:rsidR="00B17D1C">
        <w:rPr>
          <w:rFonts w:cs="Arial"/>
        </w:rPr>
        <w:t>controlled substances</w:t>
      </w:r>
      <w:r w:rsidR="007E4F25">
        <w:rPr>
          <w:rFonts w:cs="Arial"/>
        </w:rPr>
        <w:t xml:space="preserve"> or</w:t>
      </w:r>
      <w:r w:rsidR="00B17D1C">
        <w:rPr>
          <w:rFonts w:cs="Arial"/>
        </w:rPr>
        <w:t xml:space="preserve"> drug paraphernalia</w:t>
      </w:r>
      <w:r w:rsidR="007E4F25">
        <w:rPr>
          <w:rFonts w:cs="Arial"/>
        </w:rPr>
        <w:t xml:space="preserve"> </w:t>
      </w:r>
      <w:r w:rsidR="00B17D1C">
        <w:rPr>
          <w:rFonts w:cs="Arial"/>
        </w:rPr>
        <w:t xml:space="preserve">are nonmailable regardless of whether </w:t>
      </w:r>
      <w:r w:rsidR="007E4F25">
        <w:rPr>
          <w:rFonts w:cs="Arial"/>
        </w:rPr>
        <w:t xml:space="preserve">the </w:t>
      </w:r>
      <w:r w:rsidR="00B70178">
        <w:rPr>
          <w:rFonts w:cs="Arial"/>
        </w:rPr>
        <w:t xml:space="preserve">PACT Act would </w:t>
      </w:r>
      <w:r w:rsidR="00936303">
        <w:rPr>
          <w:rFonts w:cs="Arial"/>
        </w:rPr>
        <w:t>also preclude mailability</w:t>
      </w:r>
      <w:r w:rsidR="00A25652">
        <w:rPr>
          <w:rFonts w:cs="Arial"/>
        </w:rPr>
        <w:t xml:space="preserve">. </w:t>
      </w:r>
      <w:r w:rsidR="0056268E" w:rsidRPr="0056268E">
        <w:rPr>
          <w:rFonts w:cs="Arial"/>
        </w:rPr>
        <w:t>21 U.S.C. 843(b)</w:t>
      </w:r>
      <w:r w:rsidR="00AF27CF">
        <w:rPr>
          <w:rFonts w:cs="Arial"/>
        </w:rPr>
        <w:t>–</w:t>
      </w:r>
      <w:r w:rsidR="0056268E" w:rsidRPr="0056268E">
        <w:rPr>
          <w:rFonts w:cs="Arial"/>
        </w:rPr>
        <w:t>(c), 863</w:t>
      </w:r>
      <w:r w:rsidR="0056268E">
        <w:rPr>
          <w:rFonts w:cs="Arial"/>
        </w:rPr>
        <w:t>;</w:t>
      </w:r>
      <w:r w:rsidR="00D14D9D">
        <w:rPr>
          <w:rFonts w:cs="Arial"/>
        </w:rPr>
        <w:t xml:space="preserve"> Publication 52 </w:t>
      </w:r>
      <w:r w:rsidR="004C53FA">
        <w:rPr>
          <w:rFonts w:cs="Arial"/>
        </w:rPr>
        <w:t xml:space="preserve">part </w:t>
      </w:r>
      <w:r w:rsidR="00CF440D">
        <w:rPr>
          <w:rFonts w:cs="Arial"/>
        </w:rPr>
        <w:t>453</w:t>
      </w:r>
      <w:r w:rsidR="00D14D9D">
        <w:rPr>
          <w:rFonts w:cs="Arial"/>
        </w:rPr>
        <w:t>;</w:t>
      </w:r>
      <w:r w:rsidR="0056268E">
        <w:rPr>
          <w:rFonts w:cs="Arial"/>
        </w:rPr>
        <w:t xml:space="preserve"> </w:t>
      </w:r>
      <w:r w:rsidR="0056268E" w:rsidRPr="00AF27CF">
        <w:rPr>
          <w:rFonts w:cs="Arial"/>
        </w:rPr>
        <w:t>s</w:t>
      </w:r>
      <w:r w:rsidR="00125B2F" w:rsidRPr="00AF27CF">
        <w:rPr>
          <w:rFonts w:cs="Arial"/>
        </w:rPr>
        <w:t xml:space="preserve">ee </w:t>
      </w:r>
      <w:r w:rsidR="0023360D">
        <w:rPr>
          <w:rFonts w:cs="Arial"/>
        </w:rPr>
        <w:t xml:space="preserve">86 </w:t>
      </w:r>
      <w:r w:rsidR="007A54C0">
        <w:rPr>
          <w:rFonts w:cs="Arial"/>
        </w:rPr>
        <w:t>FR</w:t>
      </w:r>
      <w:r w:rsidR="00DB74ED">
        <w:rPr>
          <w:rFonts w:cs="Arial"/>
        </w:rPr>
        <w:t xml:space="preserve"> at</w:t>
      </w:r>
      <w:r w:rsidR="0023360D">
        <w:rPr>
          <w:rFonts w:cs="Arial"/>
        </w:rPr>
        <w:t xml:space="preserve"> 20289.</w:t>
      </w:r>
    </w:p>
    <w:p w14:paraId="53676842" w14:textId="03C7932E" w:rsidR="00F21930" w:rsidRDefault="00936303" w:rsidP="00F41DD0">
      <w:pPr>
        <w:shd w:val="clear" w:color="auto" w:fill="FFFFFF"/>
        <w:ind w:firstLine="720"/>
        <w:rPr>
          <w:rFonts w:cs="Arial"/>
        </w:rPr>
      </w:pPr>
      <w:proofErr w:type="gramStart"/>
      <w:r>
        <w:rPr>
          <w:rFonts w:cs="Arial"/>
        </w:rPr>
        <w:lastRenderedPageBreak/>
        <w:t>Likewise</w:t>
      </w:r>
      <w:proofErr w:type="gramEnd"/>
      <w:r>
        <w:rPr>
          <w:rFonts w:cs="Arial"/>
        </w:rPr>
        <w:t xml:space="preserve"> independently of </w:t>
      </w:r>
      <w:r w:rsidR="00C876A0">
        <w:rPr>
          <w:rFonts w:cs="Arial"/>
        </w:rPr>
        <w:t xml:space="preserve">the </w:t>
      </w:r>
      <w:r>
        <w:rPr>
          <w:rFonts w:cs="Arial"/>
        </w:rPr>
        <w:t>PACT Act</w:t>
      </w:r>
      <w:r w:rsidR="00C876A0">
        <w:rPr>
          <w:rFonts w:cs="Arial"/>
        </w:rPr>
        <w:t>’s application, l</w:t>
      </w:r>
      <w:r>
        <w:rPr>
          <w:rFonts w:cs="Arial"/>
        </w:rPr>
        <w:t>i</w:t>
      </w:r>
      <w:r w:rsidR="007950C1">
        <w:rPr>
          <w:rFonts w:cs="Arial"/>
        </w:rPr>
        <w:t>quids and hazardous materials</w:t>
      </w:r>
      <w:r>
        <w:rPr>
          <w:rFonts w:cs="Arial"/>
        </w:rPr>
        <w:t xml:space="preserve"> are also nonmailable to </w:t>
      </w:r>
      <w:r w:rsidR="007950C1">
        <w:rPr>
          <w:rFonts w:cs="Arial"/>
        </w:rPr>
        <w:t xml:space="preserve">the extent that the shipper has not observed applicable </w:t>
      </w:r>
      <w:r w:rsidR="000869A9">
        <w:rPr>
          <w:rFonts w:cs="Arial"/>
        </w:rPr>
        <w:t xml:space="preserve">mailing requirements and restrictions. </w:t>
      </w:r>
      <w:r w:rsidR="00395D9A" w:rsidRPr="00395D9A">
        <w:rPr>
          <w:rFonts w:cs="Arial"/>
        </w:rPr>
        <w:t>18</w:t>
      </w:r>
      <w:r w:rsidR="00E02D97">
        <w:rPr>
          <w:rFonts w:cs="Arial"/>
        </w:rPr>
        <w:t> </w:t>
      </w:r>
      <w:r w:rsidR="00395D9A" w:rsidRPr="00395D9A">
        <w:rPr>
          <w:rFonts w:cs="Arial"/>
        </w:rPr>
        <w:t>U.S.C. 1716(a), (h)</w:t>
      </w:r>
      <w:r w:rsidR="00395D9A">
        <w:rPr>
          <w:rFonts w:cs="Arial"/>
        </w:rPr>
        <w:t xml:space="preserve">; </w:t>
      </w:r>
      <w:r w:rsidR="00D14D9D">
        <w:rPr>
          <w:rFonts w:cs="Arial"/>
        </w:rPr>
        <w:t>39 U.S.C. 3018</w:t>
      </w:r>
      <w:r w:rsidR="00395D9A">
        <w:rPr>
          <w:rFonts w:cs="Arial"/>
        </w:rPr>
        <w:t xml:space="preserve">; </w:t>
      </w:r>
      <w:r w:rsidR="008C427E">
        <w:t xml:space="preserve">DMM section 601.3.4; </w:t>
      </w:r>
      <w:r w:rsidR="00E02D97">
        <w:rPr>
          <w:rFonts w:cs="Arial"/>
        </w:rPr>
        <w:t xml:space="preserve">Publication 52 </w:t>
      </w:r>
      <w:r w:rsidR="00AF27CF">
        <w:rPr>
          <w:rFonts w:cs="Arial"/>
        </w:rPr>
        <w:t>chapter</w:t>
      </w:r>
      <w:r w:rsidR="00704318">
        <w:rPr>
          <w:rFonts w:cs="Arial"/>
        </w:rPr>
        <w:t xml:space="preserve"> </w:t>
      </w:r>
      <w:r w:rsidR="006C5395">
        <w:rPr>
          <w:rFonts w:cs="Arial"/>
        </w:rPr>
        <w:t>3</w:t>
      </w:r>
      <w:r w:rsidR="00704318">
        <w:rPr>
          <w:rFonts w:cs="Arial"/>
        </w:rPr>
        <w:t xml:space="preserve"> &amp; </w:t>
      </w:r>
      <w:r w:rsidR="008465FD">
        <w:rPr>
          <w:rFonts w:cs="Arial"/>
        </w:rPr>
        <w:t xml:space="preserve">parts </w:t>
      </w:r>
      <w:r w:rsidR="00AE6F6E">
        <w:rPr>
          <w:rFonts w:cs="Arial"/>
        </w:rPr>
        <w:t>451,</w:t>
      </w:r>
      <w:r w:rsidR="006C5395">
        <w:rPr>
          <w:rFonts w:cs="Arial"/>
        </w:rPr>
        <w:t xml:space="preserve"> 711</w:t>
      </w:r>
      <w:r w:rsidR="00AF27CF">
        <w:rPr>
          <w:rFonts w:cs="Arial"/>
        </w:rPr>
        <w:t>–</w:t>
      </w:r>
      <w:r w:rsidR="006C5395">
        <w:rPr>
          <w:rFonts w:cs="Arial"/>
        </w:rPr>
        <w:t>728 &amp; app. A, C</w:t>
      </w:r>
      <w:r w:rsidR="00E02D97">
        <w:rPr>
          <w:rFonts w:cs="Arial"/>
        </w:rPr>
        <w:t xml:space="preserve">; </w:t>
      </w:r>
      <w:r w:rsidR="00395D9A" w:rsidRPr="00AF27CF">
        <w:rPr>
          <w:rFonts w:cs="Arial"/>
        </w:rPr>
        <w:t>s</w:t>
      </w:r>
      <w:r w:rsidR="000869A9" w:rsidRPr="00AF27CF">
        <w:rPr>
          <w:rFonts w:cs="Arial"/>
        </w:rPr>
        <w:t xml:space="preserve">ee </w:t>
      </w:r>
      <w:r w:rsidR="00395D9A">
        <w:rPr>
          <w:rFonts w:cs="Arial"/>
        </w:rPr>
        <w:t xml:space="preserve">86 </w:t>
      </w:r>
      <w:r w:rsidR="007A54C0">
        <w:rPr>
          <w:rFonts w:cs="Arial"/>
        </w:rPr>
        <w:t>FR</w:t>
      </w:r>
      <w:r w:rsidR="00DB74ED">
        <w:rPr>
          <w:rFonts w:cs="Arial"/>
        </w:rPr>
        <w:t xml:space="preserve"> at</w:t>
      </w:r>
      <w:r w:rsidR="00395D9A">
        <w:rPr>
          <w:rFonts w:cs="Arial"/>
        </w:rPr>
        <w:t xml:space="preserve"> 20289. </w:t>
      </w:r>
      <w:r w:rsidR="00A439D1">
        <w:rPr>
          <w:rFonts w:cs="Arial"/>
        </w:rPr>
        <w:t xml:space="preserve">The hazardous-materials rules </w:t>
      </w:r>
      <w:r w:rsidR="00960624">
        <w:rPr>
          <w:rFonts w:cs="Arial"/>
        </w:rPr>
        <w:t xml:space="preserve">already embody determinations by the Department of Transportation, the Postal Service, and other relevant authorities </w:t>
      </w:r>
      <w:r w:rsidR="00D6514F">
        <w:rPr>
          <w:rFonts w:cs="Arial"/>
        </w:rPr>
        <w:t xml:space="preserve">about how to balance </w:t>
      </w:r>
      <w:r w:rsidR="00CF2588">
        <w:rPr>
          <w:rFonts w:cs="Arial"/>
        </w:rPr>
        <w:t xml:space="preserve">worker safety against </w:t>
      </w:r>
      <w:r w:rsidR="00B427AE">
        <w:rPr>
          <w:rFonts w:cs="Arial"/>
        </w:rPr>
        <w:t>commercial interests</w:t>
      </w:r>
      <w:r w:rsidR="002540D6">
        <w:rPr>
          <w:rFonts w:cs="Arial"/>
        </w:rPr>
        <w:t xml:space="preserve">, resulting in, for example, differing levels of restriction </w:t>
      </w:r>
      <w:r w:rsidR="0001690A">
        <w:rPr>
          <w:rFonts w:cs="Arial"/>
        </w:rPr>
        <w:t xml:space="preserve">and mailing requirements </w:t>
      </w:r>
      <w:r w:rsidR="002540D6">
        <w:rPr>
          <w:rFonts w:cs="Arial"/>
        </w:rPr>
        <w:t>for differing concentrations of nicotine.</w:t>
      </w:r>
      <w:r w:rsidR="009E1BDB">
        <w:rPr>
          <w:rStyle w:val="FootnoteReference"/>
          <w:rFonts w:cs="Arial"/>
        </w:rPr>
        <w:footnoteReference w:id="4"/>
      </w:r>
    </w:p>
    <w:p w14:paraId="145B7CD8" w14:textId="3C4F1D9D" w:rsidR="00860E50" w:rsidRDefault="009D0B57" w:rsidP="00F41DD0">
      <w:pPr>
        <w:shd w:val="clear" w:color="auto" w:fill="FFFFFF"/>
        <w:ind w:firstLine="720"/>
        <w:rPr>
          <w:rFonts w:cs="Arial"/>
        </w:rPr>
      </w:pPr>
      <w:r>
        <w:rPr>
          <w:rFonts w:cs="Arial"/>
        </w:rPr>
        <w:t>That said</w:t>
      </w:r>
      <w:r w:rsidR="005D0693">
        <w:rPr>
          <w:rFonts w:cs="Arial"/>
        </w:rPr>
        <w:t xml:space="preserve">, </w:t>
      </w:r>
      <w:r w:rsidR="002C7D8B">
        <w:rPr>
          <w:rFonts w:cs="Arial"/>
        </w:rPr>
        <w:t>the public-health</w:t>
      </w:r>
      <w:r w:rsidR="009E4251">
        <w:rPr>
          <w:rFonts w:cs="Arial"/>
        </w:rPr>
        <w:t>-oriented</w:t>
      </w:r>
      <w:r w:rsidR="002C7D8B">
        <w:rPr>
          <w:rFonts w:cs="Arial"/>
        </w:rPr>
        <w:t xml:space="preserve"> commenters </w:t>
      </w:r>
      <w:r w:rsidR="00A63B47">
        <w:rPr>
          <w:rFonts w:cs="Arial"/>
        </w:rPr>
        <w:t xml:space="preserve">rightly point out that </w:t>
      </w:r>
      <w:r w:rsidR="009A16F6">
        <w:rPr>
          <w:rFonts w:cs="Arial"/>
        </w:rPr>
        <w:t xml:space="preserve">the broad array of covered </w:t>
      </w:r>
      <w:r w:rsidR="00924F0A">
        <w:rPr>
          <w:rFonts w:cs="Arial"/>
        </w:rPr>
        <w:t>ENDS products</w:t>
      </w:r>
      <w:r w:rsidR="009A16F6">
        <w:rPr>
          <w:rFonts w:cs="Arial"/>
        </w:rPr>
        <w:t xml:space="preserve"> is </w:t>
      </w:r>
      <w:r w:rsidR="00144DCB">
        <w:rPr>
          <w:rFonts w:cs="Arial"/>
        </w:rPr>
        <w:t xml:space="preserve">more </w:t>
      </w:r>
      <w:r w:rsidR="009A16F6">
        <w:rPr>
          <w:rFonts w:cs="Arial"/>
        </w:rPr>
        <w:t>likel</w:t>
      </w:r>
      <w:r w:rsidR="00144DCB">
        <w:rPr>
          <w:rFonts w:cs="Arial"/>
        </w:rPr>
        <w:t>y</w:t>
      </w:r>
      <w:r w:rsidR="009A16F6">
        <w:rPr>
          <w:rFonts w:cs="Arial"/>
        </w:rPr>
        <w:t xml:space="preserve"> than cigarettes and smokeless tobacco to implicate mailability rules outside of the </w:t>
      </w:r>
      <w:r w:rsidR="00555D8A">
        <w:rPr>
          <w:rFonts w:cs="Arial"/>
        </w:rPr>
        <w:t>PACT Act</w:t>
      </w:r>
      <w:r w:rsidR="009A16F6">
        <w:rPr>
          <w:rFonts w:cs="Arial"/>
        </w:rPr>
        <w:t>.</w:t>
      </w:r>
      <w:r w:rsidR="00B15E80">
        <w:rPr>
          <w:rFonts w:cs="Arial"/>
        </w:rPr>
        <w:t xml:space="preserve"> ENDS products</w:t>
      </w:r>
      <w:r w:rsidR="0061648E">
        <w:rPr>
          <w:rFonts w:cs="Arial"/>
        </w:rPr>
        <w:t xml:space="preserve"> include or may contain lithium batteries, as well as nicotine and other chemicals that are flammable or toxic.</w:t>
      </w:r>
      <w:r w:rsidR="008665CD">
        <w:rPr>
          <w:rFonts w:cs="Arial"/>
        </w:rPr>
        <w:t xml:space="preserve"> </w:t>
      </w:r>
      <w:r w:rsidR="008665CD" w:rsidRPr="00AF27CF">
        <w:rPr>
          <w:rFonts w:cs="Arial"/>
        </w:rPr>
        <w:t>See</w:t>
      </w:r>
      <w:r w:rsidR="008665CD">
        <w:rPr>
          <w:rFonts w:cs="Arial"/>
        </w:rPr>
        <w:t xml:space="preserve"> </w:t>
      </w:r>
      <w:r w:rsidR="00457736">
        <w:rPr>
          <w:rFonts w:cs="Arial"/>
        </w:rPr>
        <w:t xml:space="preserve">April 2021 Guidance, 86 </w:t>
      </w:r>
      <w:r w:rsidR="007A54C0">
        <w:rPr>
          <w:rFonts w:cs="Arial"/>
        </w:rPr>
        <w:t>FR</w:t>
      </w:r>
      <w:r w:rsidR="00457736">
        <w:rPr>
          <w:rFonts w:cs="Arial"/>
        </w:rPr>
        <w:t xml:space="preserve"> at </w:t>
      </w:r>
      <w:r w:rsidR="00660F7B">
        <w:rPr>
          <w:rFonts w:cs="Arial"/>
        </w:rPr>
        <w:t>20289</w:t>
      </w:r>
      <w:r w:rsidR="00457736">
        <w:rPr>
          <w:rFonts w:cs="Arial"/>
        </w:rPr>
        <w:t xml:space="preserve">; </w:t>
      </w:r>
      <w:r w:rsidR="008665CD">
        <w:rPr>
          <w:rFonts w:cs="Arial"/>
        </w:rPr>
        <w:t xml:space="preserve">Harmful and Potentially Harmful </w:t>
      </w:r>
      <w:r w:rsidR="00DA0F9E" w:rsidRPr="00DA0F9E">
        <w:rPr>
          <w:rFonts w:cs="Arial"/>
        </w:rPr>
        <w:t>Constituents in Tobacco Products; Established List; Proposed Additions; Request for Comments</w:t>
      </w:r>
      <w:r w:rsidR="00DA0F9E">
        <w:rPr>
          <w:rFonts w:cs="Arial"/>
        </w:rPr>
        <w:t xml:space="preserve">, 84 </w:t>
      </w:r>
      <w:r w:rsidR="007A54C0">
        <w:rPr>
          <w:rFonts w:cs="Arial"/>
        </w:rPr>
        <w:t>FR</w:t>
      </w:r>
      <w:r w:rsidR="00DA0F9E">
        <w:rPr>
          <w:rFonts w:cs="Arial"/>
        </w:rPr>
        <w:t xml:space="preserve"> 38032</w:t>
      </w:r>
      <w:r w:rsidR="0062392C">
        <w:rPr>
          <w:rFonts w:cs="Arial"/>
        </w:rPr>
        <w:t>, 38033</w:t>
      </w:r>
      <w:r w:rsidR="00AF27CF">
        <w:rPr>
          <w:rFonts w:cs="Arial"/>
        </w:rPr>
        <w:t>–</w:t>
      </w:r>
      <w:r w:rsidR="00457736">
        <w:rPr>
          <w:rFonts w:cs="Arial"/>
        </w:rPr>
        <w:t>38034</w:t>
      </w:r>
      <w:r w:rsidR="00DA0F9E">
        <w:rPr>
          <w:rFonts w:cs="Arial"/>
        </w:rPr>
        <w:t xml:space="preserve"> (2019).</w:t>
      </w:r>
      <w:r w:rsidR="0048560B">
        <w:rPr>
          <w:rFonts w:cs="Arial"/>
        </w:rPr>
        <w:t xml:space="preserve"> </w:t>
      </w:r>
      <w:r w:rsidR="00F21930">
        <w:rPr>
          <w:rFonts w:cs="Arial"/>
        </w:rPr>
        <w:t>Once again, a</w:t>
      </w:r>
      <w:r w:rsidR="002951AF">
        <w:rPr>
          <w:rFonts w:cs="Arial"/>
        </w:rPr>
        <w:t xml:space="preserve">ll mailers, including businesses, individuals, and governmental entities that may ship ENDS products pursuant to the PACT Act’s </w:t>
      </w:r>
      <w:r w:rsidR="002951AF">
        <w:rPr>
          <w:rFonts w:cs="Arial"/>
        </w:rPr>
        <w:lastRenderedPageBreak/>
        <w:t xml:space="preserve">exceptions, are </w:t>
      </w:r>
      <w:r w:rsidR="000E2B2C">
        <w:rPr>
          <w:rFonts w:cs="Arial"/>
        </w:rPr>
        <w:t xml:space="preserve">strongly </w:t>
      </w:r>
      <w:r w:rsidR="002951AF">
        <w:rPr>
          <w:rFonts w:cs="Arial"/>
        </w:rPr>
        <w:t xml:space="preserve">encouraged to </w:t>
      </w:r>
      <w:r w:rsidR="00290D39">
        <w:rPr>
          <w:rFonts w:cs="Arial"/>
        </w:rPr>
        <w:t xml:space="preserve">review and comply with all pertinent </w:t>
      </w:r>
      <w:r w:rsidR="001E7B8C">
        <w:rPr>
          <w:rFonts w:cs="Arial"/>
        </w:rPr>
        <w:t xml:space="preserve">statutes and Postal Service </w:t>
      </w:r>
      <w:r w:rsidR="00290D39">
        <w:rPr>
          <w:rFonts w:cs="Arial"/>
        </w:rPr>
        <w:t>regulations.</w:t>
      </w:r>
      <w:r w:rsidR="00C27953">
        <w:rPr>
          <w:rStyle w:val="FootnoteReference"/>
          <w:rFonts w:cs="Arial"/>
        </w:rPr>
        <w:footnoteReference w:id="5"/>
      </w:r>
      <w:r w:rsidR="00392AD5">
        <w:rPr>
          <w:rFonts w:cs="Arial"/>
        </w:rPr>
        <w:t xml:space="preserve"> ENDS manufacturers </w:t>
      </w:r>
      <w:r w:rsidR="008659F1">
        <w:rPr>
          <w:rFonts w:cs="Arial"/>
        </w:rPr>
        <w:t xml:space="preserve">and distributors are </w:t>
      </w:r>
      <w:r w:rsidR="000E2B2C">
        <w:rPr>
          <w:rFonts w:cs="Arial"/>
        </w:rPr>
        <w:t xml:space="preserve">further </w:t>
      </w:r>
      <w:r w:rsidR="008659F1">
        <w:rPr>
          <w:rFonts w:cs="Arial"/>
        </w:rPr>
        <w:t xml:space="preserve">encouraged to </w:t>
      </w:r>
      <w:r w:rsidR="00B44D93">
        <w:rPr>
          <w:rFonts w:cs="Arial"/>
        </w:rPr>
        <w:t xml:space="preserve">educate </w:t>
      </w:r>
      <w:r w:rsidR="008659F1">
        <w:rPr>
          <w:rFonts w:cs="Arial"/>
        </w:rPr>
        <w:t xml:space="preserve">ENDS consumers about the need to ensure that any </w:t>
      </w:r>
      <w:r w:rsidR="00E60FAF">
        <w:rPr>
          <w:rFonts w:cs="Arial"/>
        </w:rPr>
        <w:t xml:space="preserve">further </w:t>
      </w:r>
      <w:r w:rsidR="008659F1">
        <w:rPr>
          <w:rFonts w:cs="Arial"/>
        </w:rPr>
        <w:t xml:space="preserve">mailing of ENDS products conforms to </w:t>
      </w:r>
      <w:r w:rsidR="00B9147C">
        <w:rPr>
          <w:rFonts w:cs="Arial"/>
        </w:rPr>
        <w:t>applicable legal requirements regarding controlled substances</w:t>
      </w:r>
      <w:r w:rsidR="00B44D93">
        <w:rPr>
          <w:rFonts w:cs="Arial"/>
        </w:rPr>
        <w:t>, drug paraphernalia, and potentially hazardous materials, in addition to the PACT Act</w:t>
      </w:r>
      <w:r w:rsidR="00B9147C">
        <w:rPr>
          <w:rFonts w:cs="Arial"/>
        </w:rPr>
        <w:t>.</w:t>
      </w:r>
    </w:p>
    <w:p w14:paraId="7F8C6265" w14:textId="19CD4ED2" w:rsidR="005F0374" w:rsidRPr="000D3A79" w:rsidRDefault="001F2D7E" w:rsidP="000D3A79">
      <w:pPr>
        <w:ind w:left="720" w:firstLine="720"/>
        <w:rPr>
          <w:b/>
          <w:bCs/>
        </w:rPr>
      </w:pPr>
      <w:r w:rsidRPr="000D3A79">
        <w:rPr>
          <w:b/>
          <w:bCs/>
        </w:rPr>
        <w:t>3.</w:t>
      </w:r>
      <w:r w:rsidRPr="000D3A79">
        <w:rPr>
          <w:b/>
          <w:bCs/>
        </w:rPr>
        <w:tab/>
      </w:r>
      <w:bookmarkStart w:id="10" w:name="_Toc79569798"/>
      <w:r w:rsidR="005F0374" w:rsidRPr="000D3A79">
        <w:rPr>
          <w:b/>
          <w:bCs/>
        </w:rPr>
        <w:t>Effective Date</w:t>
      </w:r>
      <w:bookmarkEnd w:id="10"/>
    </w:p>
    <w:p w14:paraId="7DA8FA1D" w14:textId="17C83FF8" w:rsidR="007B669F" w:rsidRPr="00F41DD0" w:rsidRDefault="00B57D6F" w:rsidP="007B669F">
      <w:pPr>
        <w:ind w:firstLine="720"/>
      </w:pPr>
      <w:r>
        <w:t>Some pro-ENDS</w:t>
      </w:r>
      <w:r w:rsidR="007B669F" w:rsidRPr="00F41DD0">
        <w:t xml:space="preserve"> commenters proposed that, if the Postal Service does implement </w:t>
      </w:r>
      <w:r w:rsidR="007B669F">
        <w:t xml:space="preserve">the mailing ban, the Postal Service </w:t>
      </w:r>
      <w:r w:rsidR="0097344A">
        <w:t xml:space="preserve">should </w:t>
      </w:r>
      <w:r w:rsidR="007B669F">
        <w:t>defer its effective date or exercise its enforcement discretion to effectively allow the continued mailing of ENDS products for some period</w:t>
      </w:r>
      <w:r w:rsidR="00D409EB">
        <w:t xml:space="preserve"> (e.g., a period long enough to allow some segment of the ENDS industry to apply for and receive authorization to use the Business/Regulatory Purposes exception)</w:t>
      </w:r>
      <w:r w:rsidR="007B669F">
        <w:t>.</w:t>
      </w:r>
      <w:r w:rsidR="00A80C2A">
        <w:t xml:space="preserve"> One </w:t>
      </w:r>
      <w:r w:rsidR="007434AD">
        <w:t>ENDS consumer urged the Postal Service to stay implementation until after the COVID-19 pandemic</w:t>
      </w:r>
      <w:r w:rsidR="00EA75F8">
        <w:t>, and another suggested a delay in the general interest of facilitating industry compliance and reducing diversion to the black market.</w:t>
      </w:r>
      <w:r w:rsidR="007434AD">
        <w:t xml:space="preserve"> </w:t>
      </w:r>
      <w:r w:rsidR="00EA75F8">
        <w:t>A</w:t>
      </w:r>
      <w:r w:rsidR="007434AD">
        <w:t xml:space="preserve"> law student suggested that the Postal Service could delay implementation in areas where brick-and-mortar stores</w:t>
      </w:r>
      <w:r w:rsidR="008878E9">
        <w:t xml:space="preserve"> do not meet ENDS demand.</w:t>
      </w:r>
    </w:p>
    <w:p w14:paraId="22970920" w14:textId="424630FB" w:rsidR="007B669F" w:rsidRDefault="004C14E6" w:rsidP="00F41DD0">
      <w:pPr>
        <w:shd w:val="clear" w:color="auto" w:fill="FFFFFF"/>
        <w:ind w:firstLine="720"/>
      </w:pPr>
      <w:r>
        <w:rPr>
          <w:rFonts w:cs="Arial"/>
        </w:rPr>
        <w:t xml:space="preserve">The Postal Service lacks discretion as to the effective date. The POSECCA expressly provides that </w:t>
      </w:r>
      <w:r w:rsidR="00677C15">
        <w:t xml:space="preserve">the prohibition will apply to mailings of ENDS “on and after” the publication date of the final rule. POSECCA </w:t>
      </w:r>
      <w:r w:rsidR="0029454E">
        <w:t>section</w:t>
      </w:r>
      <w:r w:rsidR="004273CE">
        <w:t> </w:t>
      </w:r>
      <w:r w:rsidR="00677C15">
        <w:t xml:space="preserve">603(b). </w:t>
      </w:r>
      <w:r w:rsidR="00C203D2">
        <w:t xml:space="preserve">If </w:t>
      </w:r>
      <w:r w:rsidR="00C203D2">
        <w:lastRenderedPageBreak/>
        <w:t xml:space="preserve">anything, it is the </w:t>
      </w:r>
      <w:r w:rsidR="004D2790">
        <w:t xml:space="preserve">effective date of any applicable </w:t>
      </w:r>
      <w:r w:rsidR="00C203D2">
        <w:t xml:space="preserve">PACT Act exceptions, and not </w:t>
      </w:r>
      <w:r w:rsidR="004D2790">
        <w:t xml:space="preserve">the PACT Act’s </w:t>
      </w:r>
      <w:r w:rsidR="00C203D2">
        <w:t>general mailing ban, about which the POSECCA is silent.</w:t>
      </w:r>
      <w:r w:rsidR="004D2790">
        <w:t xml:space="preserve"> </w:t>
      </w:r>
      <w:r w:rsidR="00B82C6F">
        <w:t xml:space="preserve">Whatever </w:t>
      </w:r>
      <w:r w:rsidR="00151718">
        <w:t xml:space="preserve">transition-related challenges </w:t>
      </w:r>
      <w:r w:rsidR="00B82C6F">
        <w:t xml:space="preserve">that </w:t>
      </w:r>
      <w:r w:rsidR="00A2353A">
        <w:t xml:space="preserve">the POSECCA’s </w:t>
      </w:r>
      <w:r w:rsidR="00B82C6F">
        <w:t>effective date might pose on the industry</w:t>
      </w:r>
      <w:r w:rsidR="00151718">
        <w:t xml:space="preserve"> (despite having </w:t>
      </w:r>
      <w:r w:rsidR="00EE283E">
        <w:t xml:space="preserve">had </w:t>
      </w:r>
      <w:r w:rsidR="00C815D2">
        <w:t xml:space="preserve">an extended period </w:t>
      </w:r>
      <w:r w:rsidR="00151718">
        <w:t>to prepare for the mailing ban)</w:t>
      </w:r>
      <w:r w:rsidR="00B82C6F">
        <w:t xml:space="preserve">, </w:t>
      </w:r>
      <w:r w:rsidR="000A43DA">
        <w:t xml:space="preserve">Congress conferred no authority on the Postal Service to derogate from </w:t>
      </w:r>
      <w:r w:rsidR="00C815D2">
        <w:t>the requirement that the final rule have immediate effect</w:t>
      </w:r>
      <w:r w:rsidR="000A43DA">
        <w:t>.</w:t>
      </w:r>
    </w:p>
    <w:p w14:paraId="22BBA113" w14:textId="3C2645A0" w:rsidR="00490E35" w:rsidRPr="00D77328" w:rsidRDefault="009657EB" w:rsidP="00F41DD0">
      <w:pPr>
        <w:shd w:val="clear" w:color="auto" w:fill="FFFFFF"/>
        <w:ind w:firstLine="720"/>
        <w:rPr>
          <w:rFonts w:cs="Arial"/>
        </w:rPr>
      </w:pPr>
      <w:r>
        <w:rPr>
          <w:rFonts w:cs="Arial"/>
        </w:rPr>
        <w:t xml:space="preserve">As for enforcement discretion, the scope of the Postal Service’s enforcement discretion under the PACT Act is the subject of ongoing litigation. </w:t>
      </w:r>
      <w:r w:rsidR="005E1778" w:rsidRPr="00AF27CF">
        <w:rPr>
          <w:rFonts w:cs="Arial"/>
        </w:rPr>
        <w:t>See generally</w:t>
      </w:r>
      <w:r w:rsidR="005E1778">
        <w:rPr>
          <w:rFonts w:cs="Arial"/>
          <w:i/>
          <w:iCs/>
        </w:rPr>
        <w:t xml:space="preserve"> City of New York v. U.S. Postal Serv.</w:t>
      </w:r>
      <w:r w:rsidR="005E1778">
        <w:rPr>
          <w:rFonts w:cs="Arial"/>
        </w:rPr>
        <w:t xml:space="preserve">, No. </w:t>
      </w:r>
      <w:r w:rsidR="00BE2536">
        <w:rPr>
          <w:rFonts w:cs="Arial"/>
        </w:rPr>
        <w:t xml:space="preserve">1:19-CV-05934 (E.D.N.Y. </w:t>
      </w:r>
      <w:r w:rsidR="007547DD">
        <w:rPr>
          <w:rFonts w:cs="Arial"/>
        </w:rPr>
        <w:t xml:space="preserve">filed Oct. 22, 2019). </w:t>
      </w:r>
      <w:r w:rsidR="00D8662B">
        <w:rPr>
          <w:rFonts w:cs="Arial"/>
        </w:rPr>
        <w:t xml:space="preserve">To the extent that the Postal Service can exercise discretion as to enforcement of the PACT Act, however, the Postal Service declines to exercise it in the manner proposed by the commenters here. </w:t>
      </w:r>
      <w:r w:rsidR="006B239B">
        <w:rPr>
          <w:rFonts w:cs="Arial"/>
        </w:rPr>
        <w:t xml:space="preserve">While </w:t>
      </w:r>
      <w:r w:rsidR="00D8662B">
        <w:rPr>
          <w:rFonts w:cs="Arial"/>
        </w:rPr>
        <w:t xml:space="preserve">law-enforcement discretion can encompass decisions not to enforce a law, such decisions are expressly </w:t>
      </w:r>
      <w:r w:rsidR="006B239B">
        <w:rPr>
          <w:rFonts w:cs="Arial"/>
        </w:rPr>
        <w:t xml:space="preserve">and exclusively </w:t>
      </w:r>
      <w:r w:rsidR="00D8662B">
        <w:rPr>
          <w:rFonts w:cs="Arial"/>
        </w:rPr>
        <w:t>vested in the relevant Executive Branch entity, which must balance policy and resource considerations</w:t>
      </w:r>
      <w:r w:rsidR="006B239B">
        <w:rPr>
          <w:rFonts w:cs="Arial"/>
        </w:rPr>
        <w:t>, and are not amenable to judicial review</w:t>
      </w:r>
      <w:r w:rsidR="00D8662B">
        <w:rPr>
          <w:rFonts w:cs="Arial"/>
        </w:rPr>
        <w:t xml:space="preserve">. </w:t>
      </w:r>
      <w:r w:rsidR="00D8662B">
        <w:rPr>
          <w:rFonts w:cs="Arial"/>
          <w:i/>
          <w:iCs/>
        </w:rPr>
        <w:t>E.g.</w:t>
      </w:r>
      <w:r w:rsidR="00D8662B">
        <w:rPr>
          <w:rFonts w:cs="Arial"/>
        </w:rPr>
        <w:t xml:space="preserve">, </w:t>
      </w:r>
      <w:r w:rsidR="00D8662B">
        <w:rPr>
          <w:rFonts w:cs="Arial"/>
          <w:i/>
          <w:iCs/>
        </w:rPr>
        <w:t>Heckler v. Chaney</w:t>
      </w:r>
      <w:r w:rsidR="00D8662B">
        <w:rPr>
          <w:rFonts w:cs="Arial"/>
        </w:rPr>
        <w:t xml:space="preserve">, 470 U.S. 821, 831–32 (1985). </w:t>
      </w:r>
      <w:r w:rsidR="006B239B">
        <w:rPr>
          <w:rFonts w:cs="Arial"/>
        </w:rPr>
        <w:t>The Postal Service does not regard the commenters’ proposal—in effect, implementing the POSECCA on paper only while broadly maintaining the status quo ante in practice—to be a viable or preferable exercise of its law-enforcement discretion.</w:t>
      </w:r>
      <w:r w:rsidR="0097344A">
        <w:rPr>
          <w:rFonts w:cs="Arial"/>
        </w:rPr>
        <w:t xml:space="preserve"> </w:t>
      </w:r>
    </w:p>
    <w:p w14:paraId="6BE470FA" w14:textId="11B90570" w:rsidR="00E564CB" w:rsidRPr="000D3A79" w:rsidRDefault="001F2D7E" w:rsidP="000D3A79">
      <w:pPr>
        <w:ind w:firstLine="720"/>
        <w:rPr>
          <w:b/>
          <w:bCs/>
        </w:rPr>
      </w:pPr>
      <w:r w:rsidRPr="000D3A79">
        <w:rPr>
          <w:b/>
          <w:bCs/>
        </w:rPr>
        <w:t>B.</w:t>
      </w:r>
      <w:r w:rsidRPr="000D3A79">
        <w:rPr>
          <w:b/>
          <w:bCs/>
        </w:rPr>
        <w:tab/>
      </w:r>
      <w:bookmarkStart w:id="11" w:name="_Toc79569799"/>
      <w:r w:rsidR="004C4D6F" w:rsidRPr="000D3A79">
        <w:rPr>
          <w:b/>
          <w:bCs/>
        </w:rPr>
        <w:t>Constitutionality</w:t>
      </w:r>
      <w:bookmarkEnd w:id="11"/>
    </w:p>
    <w:p w14:paraId="7D881F1E" w14:textId="073F36A6" w:rsidR="00CF7D54" w:rsidRDefault="0015354D" w:rsidP="00FD29E0">
      <w:pPr>
        <w:shd w:val="clear" w:color="auto" w:fill="FFFFFF"/>
        <w:ind w:firstLine="720"/>
        <w:rPr>
          <w:rFonts w:cs="Arial"/>
        </w:rPr>
      </w:pPr>
      <w:r w:rsidRPr="0015354D">
        <w:rPr>
          <w:rFonts w:cs="Arial"/>
        </w:rPr>
        <w:t xml:space="preserve">A number of </w:t>
      </w:r>
      <w:r>
        <w:rPr>
          <w:rFonts w:cs="Arial"/>
        </w:rPr>
        <w:t xml:space="preserve">pro-ENDS </w:t>
      </w:r>
      <w:r w:rsidRPr="0015354D">
        <w:rPr>
          <w:rFonts w:cs="Arial"/>
        </w:rPr>
        <w:t xml:space="preserve">commenters </w:t>
      </w:r>
      <w:r w:rsidR="007A7833">
        <w:rPr>
          <w:rFonts w:cs="Arial"/>
        </w:rPr>
        <w:t>advanced various theories as to the supposed unconstitutionality of</w:t>
      </w:r>
      <w:r>
        <w:rPr>
          <w:rFonts w:cs="Arial"/>
        </w:rPr>
        <w:t xml:space="preserve"> </w:t>
      </w:r>
      <w:r w:rsidRPr="0015354D">
        <w:rPr>
          <w:rFonts w:cs="Arial"/>
        </w:rPr>
        <w:t xml:space="preserve">the </w:t>
      </w:r>
      <w:r w:rsidR="008259D4">
        <w:rPr>
          <w:rFonts w:cs="Arial"/>
        </w:rPr>
        <w:t xml:space="preserve">POSECCA and the </w:t>
      </w:r>
      <w:r w:rsidRPr="0015354D">
        <w:rPr>
          <w:rFonts w:cs="Arial"/>
        </w:rPr>
        <w:t xml:space="preserve">proposed </w:t>
      </w:r>
      <w:r w:rsidR="008259D4">
        <w:rPr>
          <w:rFonts w:cs="Arial"/>
        </w:rPr>
        <w:t xml:space="preserve">implementing </w:t>
      </w:r>
      <w:r w:rsidR="008259D4">
        <w:rPr>
          <w:rFonts w:cs="Arial"/>
        </w:rPr>
        <w:lastRenderedPageBreak/>
        <w:t>regulations</w:t>
      </w:r>
      <w:r w:rsidR="00FD7B37">
        <w:rPr>
          <w:rFonts w:cs="Arial"/>
        </w:rPr>
        <w:t xml:space="preserve">: </w:t>
      </w:r>
      <w:r w:rsidR="008259D4">
        <w:rPr>
          <w:rFonts w:cs="Arial"/>
        </w:rPr>
        <w:t xml:space="preserve">they would </w:t>
      </w:r>
      <w:r w:rsidRPr="0015354D">
        <w:rPr>
          <w:rFonts w:cs="Arial"/>
        </w:rPr>
        <w:t>impair the rights of adults to receive ENDS through the mails</w:t>
      </w:r>
      <w:r w:rsidR="00FD7B37">
        <w:rPr>
          <w:rFonts w:cs="Arial"/>
        </w:rPr>
        <w:t xml:space="preserve">; the law is too vague; </w:t>
      </w:r>
      <w:r w:rsidR="00A64D29">
        <w:rPr>
          <w:rFonts w:cs="Arial"/>
        </w:rPr>
        <w:t xml:space="preserve">and </w:t>
      </w:r>
      <w:r w:rsidR="00FD7B37">
        <w:rPr>
          <w:rFonts w:cs="Arial"/>
        </w:rPr>
        <w:t xml:space="preserve">the POSECCA is overbroad in its </w:t>
      </w:r>
      <w:r w:rsidR="00A64D29">
        <w:rPr>
          <w:rFonts w:cs="Arial"/>
        </w:rPr>
        <w:t xml:space="preserve">impact on adult users of ENDS products, not </w:t>
      </w:r>
      <w:r w:rsidR="00D05640">
        <w:rPr>
          <w:rFonts w:cs="Arial"/>
        </w:rPr>
        <w:t>only minors</w:t>
      </w:r>
      <w:r w:rsidRPr="0015354D">
        <w:rPr>
          <w:rFonts w:cs="Arial"/>
        </w:rPr>
        <w:t>.</w:t>
      </w:r>
    </w:p>
    <w:p w14:paraId="511784E4" w14:textId="422FDA5D" w:rsidR="00FC3AF5" w:rsidRPr="005072CC" w:rsidRDefault="00264498" w:rsidP="00FD29E0">
      <w:pPr>
        <w:shd w:val="clear" w:color="auto" w:fill="FFFFFF"/>
        <w:ind w:firstLine="720"/>
        <w:rPr>
          <w:rFonts w:cs="Arial"/>
        </w:rPr>
      </w:pPr>
      <w:r>
        <w:rPr>
          <w:rFonts w:cs="Arial"/>
        </w:rPr>
        <w:t xml:space="preserve">As an initial matter, the </w:t>
      </w:r>
      <w:r w:rsidR="006D27F1">
        <w:rPr>
          <w:rFonts w:cs="Arial"/>
        </w:rPr>
        <w:t>constitutionality of the POSECCA has no bearing on the Postal Service’s obligation to execute it. A</w:t>
      </w:r>
      <w:r w:rsidR="003739B3">
        <w:rPr>
          <w:rFonts w:cs="Arial"/>
        </w:rPr>
        <w:t xml:space="preserve">s discussed in section </w:t>
      </w:r>
      <w:r w:rsidR="003739B3" w:rsidRPr="0022072C">
        <w:rPr>
          <w:rFonts w:cs="Arial"/>
        </w:rPr>
        <w:t>III.A.1</w:t>
      </w:r>
      <w:r w:rsidR="003739B3">
        <w:rPr>
          <w:rFonts w:cs="Arial"/>
        </w:rPr>
        <w:t>, the Constitution requires the Postal Service, as an entity within the Executive Branch, to faithfully execute the laws. U.S. Const</w:t>
      </w:r>
      <w:r w:rsidR="0029454E">
        <w:rPr>
          <w:rFonts w:cs="Arial"/>
        </w:rPr>
        <w:t>itution</w:t>
      </w:r>
      <w:r w:rsidR="003739B3">
        <w:rPr>
          <w:rFonts w:cs="Arial"/>
        </w:rPr>
        <w:t xml:space="preserve"> art</w:t>
      </w:r>
      <w:r w:rsidR="0029454E">
        <w:rPr>
          <w:rFonts w:cs="Arial"/>
        </w:rPr>
        <w:t>icle</w:t>
      </w:r>
      <w:r w:rsidR="003739B3">
        <w:rPr>
          <w:rFonts w:cs="Arial"/>
        </w:rPr>
        <w:t xml:space="preserve"> II, </w:t>
      </w:r>
      <w:r w:rsidR="0029454E">
        <w:rPr>
          <w:rFonts w:cs="Arial"/>
        </w:rPr>
        <w:t>section</w:t>
      </w:r>
      <w:r w:rsidR="003739B3">
        <w:rPr>
          <w:rFonts w:cs="Arial"/>
        </w:rPr>
        <w:t> 3.</w:t>
      </w:r>
      <w:r w:rsidR="008D5FBB">
        <w:rPr>
          <w:rFonts w:cs="Arial"/>
        </w:rPr>
        <w:t xml:space="preserve"> By contrast, “it is</w:t>
      </w:r>
      <w:r w:rsidR="004B1E06">
        <w:rPr>
          <w:rFonts w:cs="Arial"/>
        </w:rPr>
        <w:t>,</w:t>
      </w:r>
      <w:r w:rsidR="008D5FBB">
        <w:rPr>
          <w:rFonts w:cs="Arial"/>
        </w:rPr>
        <w:t xml:space="preserve"> emphatically</w:t>
      </w:r>
      <w:r w:rsidR="004B1E06">
        <w:rPr>
          <w:rFonts w:cs="Arial"/>
        </w:rPr>
        <w:t>,</w:t>
      </w:r>
      <w:r w:rsidR="008D5FBB">
        <w:rPr>
          <w:rFonts w:cs="Arial"/>
        </w:rPr>
        <w:t xml:space="preserve"> the power and duty of the </w:t>
      </w:r>
      <w:r w:rsidR="00E66891">
        <w:rPr>
          <w:rFonts w:cs="Arial"/>
        </w:rPr>
        <w:t>[Judicial Branch]</w:t>
      </w:r>
      <w:r w:rsidR="004B1E06" w:rsidRPr="004B1E06">
        <w:rPr>
          <w:rFonts w:cs="Arial"/>
        </w:rPr>
        <w:t>, to say what the law is.</w:t>
      </w:r>
      <w:r w:rsidR="004B1E06">
        <w:rPr>
          <w:rFonts w:cs="Arial"/>
        </w:rPr>
        <w:t xml:space="preserve">” </w:t>
      </w:r>
      <w:r w:rsidR="004B1E06" w:rsidRPr="004B1E06">
        <w:rPr>
          <w:rFonts w:cs="Arial"/>
          <w:i/>
          <w:iCs/>
        </w:rPr>
        <w:t>Marbury v. Madison</w:t>
      </w:r>
      <w:r w:rsidR="004B1E06" w:rsidRPr="004B1E06">
        <w:rPr>
          <w:rFonts w:cs="Arial"/>
        </w:rPr>
        <w:t>, 5</w:t>
      </w:r>
      <w:r w:rsidR="004B1E06">
        <w:rPr>
          <w:rFonts w:cs="Arial"/>
        </w:rPr>
        <w:t> </w:t>
      </w:r>
      <w:r w:rsidR="004B1E06" w:rsidRPr="004B1E06">
        <w:rPr>
          <w:rFonts w:cs="Arial"/>
        </w:rPr>
        <w:t xml:space="preserve">U.S. </w:t>
      </w:r>
      <w:r w:rsidR="004B1E06">
        <w:rPr>
          <w:rFonts w:cs="Arial"/>
        </w:rPr>
        <w:t>(1 </w:t>
      </w:r>
      <w:proofErr w:type="spellStart"/>
      <w:r w:rsidR="004B1E06">
        <w:rPr>
          <w:rFonts w:cs="Arial"/>
        </w:rPr>
        <w:t>Cranch</w:t>
      </w:r>
      <w:proofErr w:type="spellEnd"/>
      <w:r w:rsidR="004B1E06">
        <w:rPr>
          <w:rFonts w:cs="Arial"/>
        </w:rPr>
        <w:t xml:space="preserve">) </w:t>
      </w:r>
      <w:r w:rsidR="004B1E06" w:rsidRPr="004B1E06">
        <w:rPr>
          <w:rFonts w:cs="Arial"/>
        </w:rPr>
        <w:t>137, 177</w:t>
      </w:r>
      <w:r w:rsidR="004B1E06">
        <w:rPr>
          <w:rFonts w:cs="Arial"/>
        </w:rPr>
        <w:t xml:space="preserve"> </w:t>
      </w:r>
      <w:r w:rsidR="004B1E06" w:rsidRPr="004B1E06">
        <w:rPr>
          <w:rFonts w:cs="Arial"/>
        </w:rPr>
        <w:t>(1803)</w:t>
      </w:r>
      <w:r w:rsidR="004B1E06">
        <w:rPr>
          <w:rFonts w:cs="Arial"/>
        </w:rPr>
        <w:t xml:space="preserve">. </w:t>
      </w:r>
      <w:r w:rsidR="00222284">
        <w:rPr>
          <w:rFonts w:cs="Arial"/>
        </w:rPr>
        <w:t>For t</w:t>
      </w:r>
      <w:r w:rsidR="00AE26E0">
        <w:rPr>
          <w:rFonts w:cs="Arial"/>
        </w:rPr>
        <w:t xml:space="preserve">he Postal Service </w:t>
      </w:r>
      <w:r w:rsidR="00222284">
        <w:rPr>
          <w:rFonts w:cs="Arial"/>
        </w:rPr>
        <w:t xml:space="preserve">unilaterally </w:t>
      </w:r>
      <w:r w:rsidR="000D6A24">
        <w:rPr>
          <w:rFonts w:cs="Arial"/>
        </w:rPr>
        <w:t xml:space="preserve">to </w:t>
      </w:r>
      <w:r w:rsidR="00222284">
        <w:rPr>
          <w:rFonts w:cs="Arial"/>
        </w:rPr>
        <w:t xml:space="preserve">decide not to execute a duly enacted law on constitutional grounds would </w:t>
      </w:r>
      <w:r w:rsidR="005524A6">
        <w:rPr>
          <w:rFonts w:cs="Arial"/>
        </w:rPr>
        <w:t>abdicate its constitutional duty and usurp the powers of the Legislative and Judicial Branches.</w:t>
      </w:r>
      <w:r w:rsidR="005072CC">
        <w:rPr>
          <w:rFonts w:cs="Arial"/>
        </w:rPr>
        <w:t xml:space="preserve"> </w:t>
      </w:r>
      <w:r w:rsidR="005072CC" w:rsidRPr="00AF27CF">
        <w:rPr>
          <w:rFonts w:cs="Arial"/>
        </w:rPr>
        <w:t>See</w:t>
      </w:r>
      <w:r w:rsidR="005072CC">
        <w:rPr>
          <w:rFonts w:cs="Arial"/>
          <w:i/>
          <w:iCs/>
        </w:rPr>
        <w:t xml:space="preserve"> </w:t>
      </w:r>
      <w:proofErr w:type="spellStart"/>
      <w:r w:rsidR="005072CC">
        <w:rPr>
          <w:rFonts w:cs="Arial"/>
          <w:i/>
          <w:iCs/>
        </w:rPr>
        <w:t>Ameron</w:t>
      </w:r>
      <w:proofErr w:type="spellEnd"/>
      <w:r w:rsidR="005072CC">
        <w:rPr>
          <w:rFonts w:cs="Arial"/>
          <w:i/>
          <w:iCs/>
        </w:rPr>
        <w:t>, Inc. v. U.S. Army Corps of Engineers</w:t>
      </w:r>
      <w:r w:rsidR="005072CC">
        <w:rPr>
          <w:rFonts w:cs="Arial"/>
        </w:rPr>
        <w:t xml:space="preserve">, 787 F.2d 875, </w:t>
      </w:r>
      <w:r w:rsidR="006A2F5D">
        <w:rPr>
          <w:rFonts w:cs="Arial"/>
        </w:rPr>
        <w:t>88</w:t>
      </w:r>
      <w:r w:rsidR="00574B66">
        <w:rPr>
          <w:rFonts w:cs="Arial"/>
        </w:rPr>
        <w:t>9</w:t>
      </w:r>
      <w:r w:rsidR="006A2F5D">
        <w:rPr>
          <w:rFonts w:cs="Arial"/>
        </w:rPr>
        <w:t xml:space="preserve"> &amp; n.11 (3d Cir. 1986)</w:t>
      </w:r>
      <w:r w:rsidR="006334BF">
        <w:rPr>
          <w:rFonts w:cs="Arial"/>
        </w:rPr>
        <w:t xml:space="preserve"> (</w:t>
      </w:r>
      <w:r w:rsidR="00025ED8">
        <w:rPr>
          <w:rFonts w:cs="Arial"/>
        </w:rPr>
        <w:t>the President</w:t>
      </w:r>
      <w:r w:rsidR="00F660A5">
        <w:rPr>
          <w:rFonts w:cs="Arial"/>
        </w:rPr>
        <w:t xml:space="preserve"> can </w:t>
      </w:r>
      <w:r w:rsidR="005463FB">
        <w:rPr>
          <w:rFonts w:cs="Arial"/>
        </w:rPr>
        <w:t>“</w:t>
      </w:r>
      <w:r w:rsidR="005463FB" w:rsidRPr="005463FB">
        <w:rPr>
          <w:rFonts w:cs="Arial"/>
        </w:rPr>
        <w:t>veto, criticize, or even refuse to defend in court, statutes which he regards as unconstitutional</w:t>
      </w:r>
      <w:r w:rsidR="005463FB">
        <w:rPr>
          <w:rFonts w:cs="Arial"/>
        </w:rPr>
        <w:t xml:space="preserve">,” but </w:t>
      </w:r>
      <w:r w:rsidR="003E675F">
        <w:rPr>
          <w:rFonts w:cs="Arial"/>
        </w:rPr>
        <w:t xml:space="preserve">may not </w:t>
      </w:r>
      <w:r w:rsidR="005F460D">
        <w:rPr>
          <w:rFonts w:cs="Arial"/>
        </w:rPr>
        <w:t xml:space="preserve">refuse </w:t>
      </w:r>
      <w:r w:rsidR="003601DB" w:rsidRPr="003601DB">
        <w:rPr>
          <w:rFonts w:cs="Arial"/>
        </w:rPr>
        <w:t>to execute them</w:t>
      </w:r>
      <w:r w:rsidR="005F460D">
        <w:rPr>
          <w:rFonts w:cs="Arial"/>
        </w:rPr>
        <w:t xml:space="preserve"> on constitutionality grounds</w:t>
      </w:r>
      <w:r w:rsidR="006334BF">
        <w:rPr>
          <w:rFonts w:cs="Arial"/>
        </w:rPr>
        <w:t>)</w:t>
      </w:r>
      <w:r w:rsidR="00805E5D">
        <w:rPr>
          <w:rFonts w:cs="Arial"/>
        </w:rPr>
        <w:t xml:space="preserve"> (citing </w:t>
      </w:r>
      <w:r w:rsidR="00805E5D">
        <w:rPr>
          <w:rFonts w:cs="Arial"/>
          <w:i/>
          <w:iCs/>
        </w:rPr>
        <w:t>Marbury</w:t>
      </w:r>
      <w:r w:rsidR="00805E5D">
        <w:rPr>
          <w:rFonts w:cs="Arial"/>
        </w:rPr>
        <w:t xml:space="preserve"> and other significant Supreme Court opinions to that effect)</w:t>
      </w:r>
      <w:r w:rsidR="006334BF">
        <w:rPr>
          <w:rFonts w:cs="Arial"/>
        </w:rPr>
        <w:t xml:space="preserve">; </w:t>
      </w:r>
      <w:r w:rsidR="006334BF">
        <w:rPr>
          <w:rFonts w:cs="Arial"/>
          <w:i/>
          <w:iCs/>
        </w:rPr>
        <w:t>see also Am. Coalition for Competitive Trade v. Clinton</w:t>
      </w:r>
      <w:r w:rsidR="006334BF">
        <w:rPr>
          <w:rFonts w:cs="Arial"/>
        </w:rPr>
        <w:t>, 128 F.3d 761, 766 n.6 (D.C. Cir. 1997) (“</w:t>
      </w:r>
      <w:r w:rsidR="006334BF" w:rsidRPr="00A76156">
        <w:rPr>
          <w:rFonts w:cs="Arial"/>
        </w:rPr>
        <w:t xml:space="preserve">administrative agencies </w:t>
      </w:r>
      <w:r w:rsidR="006334BF">
        <w:rPr>
          <w:rFonts w:cs="Arial"/>
        </w:rPr>
        <w:t xml:space="preserve">. . . </w:t>
      </w:r>
      <w:r w:rsidR="006334BF" w:rsidRPr="00A76156">
        <w:rPr>
          <w:rFonts w:cs="Arial"/>
        </w:rPr>
        <w:t>cannot resolve constitutional issues</w:t>
      </w:r>
      <w:r w:rsidR="006334BF">
        <w:rPr>
          <w:rFonts w:cs="Arial"/>
        </w:rPr>
        <w:t>”)</w:t>
      </w:r>
      <w:r w:rsidR="006A2F5D">
        <w:rPr>
          <w:rFonts w:cs="Arial"/>
        </w:rPr>
        <w:t>.</w:t>
      </w:r>
      <w:r w:rsidR="00BD3BB4">
        <w:rPr>
          <w:rFonts w:cs="Arial"/>
        </w:rPr>
        <w:t xml:space="preserve"> As such, barring a contrary judicial determination, any concerns about the POSECCA’s constitutionality are no bar to its Congressionally mandated implementation by the Postal Service.</w:t>
      </w:r>
    </w:p>
    <w:p w14:paraId="6B1D39D5" w14:textId="788494A9" w:rsidR="006E292B" w:rsidRPr="008252D6" w:rsidRDefault="000D6A24" w:rsidP="00FD29E0">
      <w:pPr>
        <w:shd w:val="clear" w:color="auto" w:fill="FFFFFF"/>
        <w:ind w:firstLine="720"/>
        <w:rPr>
          <w:rFonts w:cs="Arial"/>
        </w:rPr>
      </w:pPr>
      <w:r>
        <w:rPr>
          <w:rFonts w:cs="Arial"/>
        </w:rPr>
        <w:t xml:space="preserve">That said, </w:t>
      </w:r>
      <w:r w:rsidR="003739B3">
        <w:rPr>
          <w:rFonts w:cs="Arial"/>
        </w:rPr>
        <w:t xml:space="preserve">by all indications, the relevant statutes </w:t>
      </w:r>
      <w:r w:rsidR="002F40EC">
        <w:rPr>
          <w:rFonts w:cs="Arial"/>
        </w:rPr>
        <w:t>appear to be</w:t>
      </w:r>
      <w:r w:rsidR="003739B3">
        <w:rPr>
          <w:rFonts w:cs="Arial"/>
        </w:rPr>
        <w:t xml:space="preserve"> constitutional. </w:t>
      </w:r>
      <w:r w:rsidR="008867EC">
        <w:rPr>
          <w:rFonts w:cs="Arial"/>
        </w:rPr>
        <w:t xml:space="preserve">Congress has plenary powers to enact laws governing the postal </w:t>
      </w:r>
      <w:r w:rsidR="008867EC">
        <w:rPr>
          <w:rFonts w:cs="Arial"/>
        </w:rPr>
        <w:lastRenderedPageBreak/>
        <w:t>system, as well as to regulate interstate</w:t>
      </w:r>
      <w:r w:rsidR="0099137B">
        <w:rPr>
          <w:rFonts w:cs="Arial"/>
        </w:rPr>
        <w:t xml:space="preserve"> commerce and commerce with foreign and </w:t>
      </w:r>
      <w:r w:rsidR="00363B60">
        <w:rPr>
          <w:rFonts w:cs="Arial"/>
        </w:rPr>
        <w:t>T</w:t>
      </w:r>
      <w:r w:rsidR="0099137B">
        <w:rPr>
          <w:rFonts w:cs="Arial"/>
        </w:rPr>
        <w:t>ribal nations</w:t>
      </w:r>
      <w:r w:rsidR="008867EC">
        <w:rPr>
          <w:rFonts w:cs="Arial"/>
        </w:rPr>
        <w:t>. U.S. Const</w:t>
      </w:r>
      <w:r w:rsidR="0029454E">
        <w:rPr>
          <w:rFonts w:cs="Arial"/>
        </w:rPr>
        <w:t>itution</w:t>
      </w:r>
      <w:r w:rsidR="008867EC">
        <w:rPr>
          <w:rFonts w:cs="Arial"/>
        </w:rPr>
        <w:t xml:space="preserve"> art</w:t>
      </w:r>
      <w:r w:rsidR="0029454E">
        <w:rPr>
          <w:rFonts w:cs="Arial"/>
        </w:rPr>
        <w:t>icle</w:t>
      </w:r>
      <w:r w:rsidR="008867EC">
        <w:rPr>
          <w:rFonts w:cs="Arial"/>
        </w:rPr>
        <w:t xml:space="preserve"> I, </w:t>
      </w:r>
      <w:r w:rsidR="0029454E">
        <w:rPr>
          <w:rFonts w:cs="Arial"/>
        </w:rPr>
        <w:t>section</w:t>
      </w:r>
      <w:r w:rsidR="004273CE">
        <w:rPr>
          <w:rFonts w:cs="Arial"/>
        </w:rPr>
        <w:t> </w:t>
      </w:r>
      <w:r w:rsidR="00CB4AB3">
        <w:rPr>
          <w:rFonts w:cs="Arial"/>
        </w:rPr>
        <w:t>8, cl</w:t>
      </w:r>
      <w:r w:rsidR="0029454E">
        <w:rPr>
          <w:rFonts w:cs="Arial"/>
        </w:rPr>
        <w:t>ause</w:t>
      </w:r>
      <w:r w:rsidR="00A239C2">
        <w:rPr>
          <w:rFonts w:cs="Arial"/>
        </w:rPr>
        <w:t>s</w:t>
      </w:r>
      <w:r w:rsidR="00CB4AB3">
        <w:rPr>
          <w:rFonts w:cs="Arial"/>
        </w:rPr>
        <w:t xml:space="preserve"> </w:t>
      </w:r>
      <w:r w:rsidR="0099137B">
        <w:rPr>
          <w:rFonts w:cs="Arial"/>
        </w:rPr>
        <w:t>3, 7</w:t>
      </w:r>
      <w:r w:rsidR="00CB4AB3">
        <w:rPr>
          <w:rFonts w:cs="Arial"/>
        </w:rPr>
        <w:t>.</w:t>
      </w:r>
      <w:r w:rsidR="008867EC">
        <w:rPr>
          <w:rFonts w:cs="Arial"/>
        </w:rPr>
        <w:t xml:space="preserve"> </w:t>
      </w:r>
      <w:r w:rsidR="00A53399">
        <w:rPr>
          <w:rFonts w:cs="Arial"/>
        </w:rPr>
        <w:t xml:space="preserve">In exercising those powers, </w:t>
      </w:r>
      <w:r w:rsidR="004E1A5C">
        <w:rPr>
          <w:rFonts w:cs="Arial"/>
        </w:rPr>
        <w:t xml:space="preserve">Congress’s </w:t>
      </w:r>
      <w:r w:rsidR="00A53399">
        <w:rPr>
          <w:rFonts w:cs="Arial"/>
        </w:rPr>
        <w:t xml:space="preserve">authority </w:t>
      </w:r>
      <w:r w:rsidR="004E1A5C">
        <w:rPr>
          <w:rFonts w:cs="Arial"/>
        </w:rPr>
        <w:t>to ban a class of products from the mails</w:t>
      </w:r>
      <w:r w:rsidR="00A239C2">
        <w:rPr>
          <w:rFonts w:cs="Arial"/>
        </w:rPr>
        <w:t>—</w:t>
      </w:r>
      <w:r w:rsidR="00216B82">
        <w:rPr>
          <w:rFonts w:cs="Arial"/>
        </w:rPr>
        <w:t xml:space="preserve">even those that are legal in </w:t>
      </w:r>
      <w:r w:rsidR="004E1A5C">
        <w:rPr>
          <w:rFonts w:cs="Arial"/>
        </w:rPr>
        <w:t>all States</w:t>
      </w:r>
      <w:r w:rsidR="002E2C4C">
        <w:rPr>
          <w:rFonts w:cs="Arial"/>
        </w:rPr>
        <w:t xml:space="preserve"> and </w:t>
      </w:r>
      <w:r w:rsidR="00216B82">
        <w:rPr>
          <w:rFonts w:cs="Arial"/>
        </w:rPr>
        <w:t xml:space="preserve">that are not </w:t>
      </w:r>
      <w:r w:rsidR="002E2C4C">
        <w:rPr>
          <w:rFonts w:cs="Arial"/>
        </w:rPr>
        <w:t>harmful to Postal Service personnel</w:t>
      </w:r>
      <w:r w:rsidR="00A239C2">
        <w:rPr>
          <w:rFonts w:cs="Arial"/>
        </w:rPr>
        <w:t>—</w:t>
      </w:r>
      <w:r w:rsidR="002E2C4C">
        <w:rPr>
          <w:rFonts w:cs="Arial"/>
        </w:rPr>
        <w:t>is well-established</w:t>
      </w:r>
      <w:r w:rsidR="0082076A">
        <w:rPr>
          <w:rFonts w:cs="Arial"/>
        </w:rPr>
        <w:t>: indeed, Congress has historically done so with a number of other such products</w:t>
      </w:r>
      <w:r w:rsidR="002E2C4C">
        <w:rPr>
          <w:rFonts w:cs="Arial"/>
        </w:rPr>
        <w:t>.</w:t>
      </w:r>
      <w:r w:rsidR="00B2292D">
        <w:rPr>
          <w:rFonts w:cs="Arial"/>
        </w:rPr>
        <w:t xml:space="preserve"> </w:t>
      </w:r>
      <w:r w:rsidR="003A1EFA">
        <w:rPr>
          <w:rFonts w:cs="Arial"/>
          <w:i/>
          <w:iCs/>
        </w:rPr>
        <w:t xml:space="preserve">U.S. </w:t>
      </w:r>
      <w:r w:rsidR="00B2292D" w:rsidRPr="0015354D">
        <w:rPr>
          <w:rFonts w:cs="Arial"/>
          <w:i/>
          <w:iCs/>
        </w:rPr>
        <w:t xml:space="preserve">Postal Serv. v. Council of </w:t>
      </w:r>
      <w:proofErr w:type="spellStart"/>
      <w:r w:rsidR="00B2292D" w:rsidRPr="0015354D">
        <w:rPr>
          <w:rFonts w:cs="Arial"/>
          <w:i/>
          <w:iCs/>
        </w:rPr>
        <w:t>Greenburgh</w:t>
      </w:r>
      <w:proofErr w:type="spellEnd"/>
      <w:r w:rsidR="00B2292D" w:rsidRPr="0015354D">
        <w:rPr>
          <w:rFonts w:cs="Arial"/>
          <w:i/>
          <w:iCs/>
        </w:rPr>
        <w:t xml:space="preserve"> Civic </w:t>
      </w:r>
      <w:proofErr w:type="spellStart"/>
      <w:r w:rsidR="00B2292D" w:rsidRPr="0015354D">
        <w:rPr>
          <w:rFonts w:cs="Arial"/>
          <w:i/>
          <w:iCs/>
        </w:rPr>
        <w:t>Ass</w:t>
      </w:r>
      <w:r w:rsidR="002D61B1">
        <w:rPr>
          <w:rFonts w:cs="Arial"/>
          <w:i/>
          <w:iCs/>
        </w:rPr>
        <w:t>’</w:t>
      </w:r>
      <w:r w:rsidR="00B2292D" w:rsidRPr="0015354D">
        <w:rPr>
          <w:rFonts w:cs="Arial"/>
          <w:i/>
          <w:iCs/>
        </w:rPr>
        <w:t>ns</w:t>
      </w:r>
      <w:proofErr w:type="spellEnd"/>
      <w:r w:rsidR="003A1EFA">
        <w:rPr>
          <w:rFonts w:cs="Arial"/>
        </w:rPr>
        <w:t>,</w:t>
      </w:r>
      <w:r w:rsidR="00B2292D" w:rsidRPr="0015354D">
        <w:rPr>
          <w:rFonts w:cs="Arial"/>
          <w:i/>
          <w:iCs/>
        </w:rPr>
        <w:t xml:space="preserve"> </w:t>
      </w:r>
      <w:r w:rsidR="00B2292D" w:rsidRPr="0015354D">
        <w:rPr>
          <w:rFonts w:cs="Arial"/>
        </w:rPr>
        <w:t>453 U.S. 114, 126 (1981) (“The validity of legislation describing what should be carried has never been questioned. The power possessed by Congress embraces the regulation of the entire Postal System of the country. The right to designate what shall be carried necessarily involves the right to determine what shall be excluded.”</w:t>
      </w:r>
      <w:r w:rsidR="00B2292D">
        <w:rPr>
          <w:rFonts w:cs="Arial"/>
        </w:rPr>
        <w:t xml:space="preserve">) </w:t>
      </w:r>
      <w:bookmarkStart w:id="12" w:name="_Hlk80004587"/>
      <w:r w:rsidR="00B2292D">
        <w:rPr>
          <w:rFonts w:cs="Arial"/>
        </w:rPr>
        <w:t>(</w:t>
      </w:r>
      <w:r w:rsidR="00B2292D" w:rsidRPr="0015354D">
        <w:rPr>
          <w:rFonts w:cs="Arial"/>
        </w:rPr>
        <w:t>quoting</w:t>
      </w:r>
      <w:r w:rsidR="00B2292D" w:rsidRPr="0015354D">
        <w:rPr>
          <w:rFonts w:cs="Arial"/>
          <w:i/>
          <w:iCs/>
        </w:rPr>
        <w:t xml:space="preserve"> Ex </w:t>
      </w:r>
      <w:proofErr w:type="spellStart"/>
      <w:r w:rsidR="00843658">
        <w:rPr>
          <w:rFonts w:cs="Arial"/>
          <w:i/>
          <w:iCs/>
        </w:rPr>
        <w:t>p</w:t>
      </w:r>
      <w:r w:rsidR="00B2292D" w:rsidRPr="0015354D">
        <w:rPr>
          <w:rFonts w:cs="Arial"/>
          <w:i/>
          <w:iCs/>
        </w:rPr>
        <w:t>arte</w:t>
      </w:r>
      <w:proofErr w:type="spellEnd"/>
      <w:r w:rsidR="00B2292D" w:rsidRPr="0015354D">
        <w:rPr>
          <w:rFonts w:cs="Arial"/>
          <w:i/>
          <w:iCs/>
        </w:rPr>
        <w:t xml:space="preserve"> Jackson</w:t>
      </w:r>
      <w:r w:rsidR="00B2292D" w:rsidRPr="0015354D">
        <w:rPr>
          <w:rFonts w:cs="Arial"/>
        </w:rPr>
        <w:t>, 96 U.S. 727, 732 (1878))</w:t>
      </w:r>
      <w:r w:rsidR="00DB3463">
        <w:rPr>
          <w:rFonts w:cs="Arial"/>
        </w:rPr>
        <w:t xml:space="preserve"> (cleaned up)</w:t>
      </w:r>
      <w:bookmarkEnd w:id="12"/>
      <w:r w:rsidR="003A1EFA">
        <w:rPr>
          <w:rFonts w:cs="Arial"/>
        </w:rPr>
        <w:t xml:space="preserve">; </w:t>
      </w:r>
      <w:r w:rsidR="003A1EFA">
        <w:rPr>
          <w:rFonts w:cs="Arial"/>
          <w:i/>
          <w:iCs/>
        </w:rPr>
        <w:t>Gordon</w:t>
      </w:r>
      <w:r w:rsidR="003A1EFA">
        <w:rPr>
          <w:rFonts w:cs="Arial"/>
        </w:rPr>
        <w:t>, 721 F.3d at 656</w:t>
      </w:r>
      <w:r w:rsidR="003B724A">
        <w:rPr>
          <w:rFonts w:cs="Arial"/>
        </w:rPr>
        <w:t xml:space="preserve">; </w:t>
      </w:r>
      <w:r w:rsidR="003B724A" w:rsidRPr="0015354D">
        <w:rPr>
          <w:rFonts w:cs="Arial"/>
          <w:i/>
          <w:iCs/>
        </w:rPr>
        <w:t>Musser’s Inc. v. United States</w:t>
      </w:r>
      <w:r w:rsidR="003B724A" w:rsidRPr="0015354D">
        <w:rPr>
          <w:rFonts w:cs="Arial"/>
        </w:rPr>
        <w:t>, 1</w:t>
      </w:r>
      <w:r w:rsidR="002D61B1">
        <w:rPr>
          <w:rFonts w:cs="Arial"/>
        </w:rPr>
        <w:t> </w:t>
      </w:r>
      <w:r w:rsidR="003B724A" w:rsidRPr="0015354D">
        <w:rPr>
          <w:rFonts w:cs="Arial"/>
        </w:rPr>
        <w:t>F. Supp. 3d 308, 318</w:t>
      </w:r>
      <w:r w:rsidR="003B724A" w:rsidRPr="0015354D">
        <w:rPr>
          <w:rFonts w:cs="Arial"/>
          <w:i/>
          <w:iCs/>
        </w:rPr>
        <w:t xml:space="preserve"> </w:t>
      </w:r>
      <w:r w:rsidR="003B724A" w:rsidRPr="0015354D">
        <w:rPr>
          <w:rFonts w:cs="Arial"/>
        </w:rPr>
        <w:t>(E.D. Pa. 2014)</w:t>
      </w:r>
      <w:r w:rsidR="0082076A">
        <w:rPr>
          <w:rFonts w:cs="Arial"/>
        </w:rPr>
        <w:t xml:space="preserve">. </w:t>
      </w:r>
      <w:r w:rsidR="00216B82">
        <w:rPr>
          <w:rFonts w:cs="Arial"/>
        </w:rPr>
        <w:t xml:space="preserve">The PACT Act’s mailing ban </w:t>
      </w:r>
      <w:proofErr w:type="gramStart"/>
      <w:r w:rsidR="00216B82">
        <w:rPr>
          <w:rFonts w:cs="Arial"/>
        </w:rPr>
        <w:t>in particular has</w:t>
      </w:r>
      <w:proofErr w:type="gramEnd"/>
      <w:r w:rsidR="00216B82">
        <w:rPr>
          <w:rFonts w:cs="Arial"/>
        </w:rPr>
        <w:t xml:space="preserve"> been upheld as </w:t>
      </w:r>
      <w:r w:rsidR="007767D4">
        <w:rPr>
          <w:rFonts w:cs="Arial"/>
        </w:rPr>
        <w:t xml:space="preserve">a rational exercise of Congress’s </w:t>
      </w:r>
      <w:r w:rsidR="000444B5">
        <w:rPr>
          <w:rFonts w:cs="Arial"/>
        </w:rPr>
        <w:t xml:space="preserve">constitutional </w:t>
      </w:r>
      <w:r w:rsidR="007767D4">
        <w:rPr>
          <w:rFonts w:cs="Arial"/>
        </w:rPr>
        <w:t>power</w:t>
      </w:r>
      <w:r w:rsidR="000444B5">
        <w:rPr>
          <w:rFonts w:cs="Arial"/>
        </w:rPr>
        <w:t>s</w:t>
      </w:r>
      <w:r w:rsidR="007767D4">
        <w:rPr>
          <w:rFonts w:cs="Arial"/>
        </w:rPr>
        <w:t>.</w:t>
      </w:r>
      <w:r w:rsidR="008252D6">
        <w:rPr>
          <w:rFonts w:cs="Arial"/>
        </w:rPr>
        <w:t xml:space="preserve"> </w:t>
      </w:r>
      <w:r w:rsidR="003A1EFA" w:rsidRPr="003A1EFA">
        <w:rPr>
          <w:rFonts w:cs="Arial"/>
          <w:i/>
          <w:iCs/>
        </w:rPr>
        <w:t>Gordon</w:t>
      </w:r>
      <w:r w:rsidR="003A1EFA">
        <w:rPr>
          <w:rFonts w:cs="Arial"/>
        </w:rPr>
        <w:t xml:space="preserve">, 721 F.3d </w:t>
      </w:r>
      <w:r w:rsidR="008252D6" w:rsidRPr="003A1EFA">
        <w:rPr>
          <w:rFonts w:cs="Arial"/>
        </w:rPr>
        <w:t>at</w:t>
      </w:r>
      <w:r w:rsidR="008252D6">
        <w:rPr>
          <w:rFonts w:cs="Arial"/>
        </w:rPr>
        <w:t xml:space="preserve"> 657</w:t>
      </w:r>
      <w:r w:rsidR="00843658">
        <w:rPr>
          <w:rFonts w:cs="Arial"/>
        </w:rPr>
        <w:t xml:space="preserve">; </w:t>
      </w:r>
      <w:r w:rsidR="00843658">
        <w:rPr>
          <w:rFonts w:cs="Arial"/>
          <w:i/>
          <w:iCs/>
        </w:rPr>
        <w:t>Musser’s</w:t>
      </w:r>
      <w:r w:rsidR="00843658">
        <w:rPr>
          <w:rFonts w:cs="Arial"/>
        </w:rPr>
        <w:t>, 1</w:t>
      </w:r>
      <w:r w:rsidR="00B42C7F">
        <w:rPr>
          <w:rFonts w:cs="Arial"/>
        </w:rPr>
        <w:t> </w:t>
      </w:r>
      <w:r w:rsidR="00843658">
        <w:rPr>
          <w:rFonts w:cs="Arial"/>
        </w:rPr>
        <w:t>F. Supp. at 318</w:t>
      </w:r>
      <w:r w:rsidR="008252D6">
        <w:rPr>
          <w:rFonts w:cs="Arial"/>
        </w:rPr>
        <w:t>.</w:t>
      </w:r>
    </w:p>
    <w:p w14:paraId="6CC3C3C0" w14:textId="1BBC9877" w:rsidR="008252D6" w:rsidRPr="001653EF" w:rsidRDefault="007257C3" w:rsidP="00FD29E0">
      <w:pPr>
        <w:shd w:val="clear" w:color="auto" w:fill="FFFFFF"/>
        <w:ind w:firstLine="720"/>
        <w:rPr>
          <w:rFonts w:cs="Arial"/>
        </w:rPr>
      </w:pPr>
      <w:r>
        <w:rPr>
          <w:rFonts w:cs="Arial"/>
        </w:rPr>
        <w:t xml:space="preserve">Given </w:t>
      </w:r>
      <w:r w:rsidR="005E2A05">
        <w:rPr>
          <w:rFonts w:cs="Arial"/>
        </w:rPr>
        <w:t>Congress’s plenary power over the very existence of the postal system</w:t>
      </w:r>
      <w:r>
        <w:rPr>
          <w:rFonts w:cs="Arial"/>
        </w:rPr>
        <w:t xml:space="preserve">, </w:t>
      </w:r>
      <w:r w:rsidR="00486222">
        <w:rPr>
          <w:rFonts w:cs="Arial"/>
        </w:rPr>
        <w:t xml:space="preserve">it cannot be said that there is a </w:t>
      </w:r>
      <w:r>
        <w:rPr>
          <w:rFonts w:cs="Arial"/>
        </w:rPr>
        <w:t>fundamental right to mail any particular item, let alone ENDS products</w:t>
      </w:r>
      <w:r w:rsidR="008248F0">
        <w:rPr>
          <w:rFonts w:cs="Arial"/>
        </w:rPr>
        <w:t xml:space="preserve">, and </w:t>
      </w:r>
      <w:r w:rsidR="004F2D7A">
        <w:rPr>
          <w:rFonts w:cs="Arial"/>
        </w:rPr>
        <w:t xml:space="preserve">shippers or users </w:t>
      </w:r>
      <w:r w:rsidR="00F33062">
        <w:rPr>
          <w:rFonts w:cs="Arial"/>
        </w:rPr>
        <w:t xml:space="preserve">of ENDS products </w:t>
      </w:r>
      <w:r w:rsidR="004F2D7A">
        <w:rPr>
          <w:rFonts w:cs="Arial"/>
        </w:rPr>
        <w:t xml:space="preserve">do not constitute </w:t>
      </w:r>
      <w:r w:rsidR="008248F0">
        <w:rPr>
          <w:rFonts w:cs="Arial"/>
        </w:rPr>
        <w:t>a protected class</w:t>
      </w:r>
      <w:r w:rsidR="00EB191C">
        <w:rPr>
          <w:rFonts w:cs="Arial"/>
        </w:rPr>
        <w:t xml:space="preserve"> any more than </w:t>
      </w:r>
      <w:r w:rsidR="004F2D7A">
        <w:rPr>
          <w:rFonts w:cs="Arial"/>
        </w:rPr>
        <w:t xml:space="preserve">shippers or users of </w:t>
      </w:r>
      <w:r w:rsidR="00F33062">
        <w:rPr>
          <w:rFonts w:cs="Arial"/>
        </w:rPr>
        <w:t>cigarettes or smokeless tobacco</w:t>
      </w:r>
      <w:r>
        <w:rPr>
          <w:rFonts w:cs="Arial"/>
        </w:rPr>
        <w:t>.</w:t>
      </w:r>
      <w:r w:rsidR="005E2A05">
        <w:rPr>
          <w:rFonts w:cs="Arial"/>
        </w:rPr>
        <w:t xml:space="preserve"> </w:t>
      </w:r>
      <w:r w:rsidR="008248F0">
        <w:rPr>
          <w:rFonts w:cs="Arial"/>
          <w:i/>
          <w:iCs/>
        </w:rPr>
        <w:t>See Gordon</w:t>
      </w:r>
      <w:r w:rsidR="008248F0">
        <w:rPr>
          <w:rFonts w:cs="Arial"/>
        </w:rPr>
        <w:t>, 721 F.3d at 657 (</w:t>
      </w:r>
      <w:r w:rsidR="00EB191C">
        <w:rPr>
          <w:rFonts w:cs="Arial"/>
        </w:rPr>
        <w:t xml:space="preserve">regarding the PACT Act as a </w:t>
      </w:r>
      <w:r w:rsidR="008248F0">
        <w:rPr>
          <w:rFonts w:cs="Arial"/>
        </w:rPr>
        <w:t>“</w:t>
      </w:r>
      <w:r w:rsidR="00EB191C">
        <w:t>law that does not infringe on a fundamental right or involve a suspect classification”).</w:t>
      </w:r>
      <w:r w:rsidR="008D4212">
        <w:t xml:space="preserve"> As such, Congress’s </w:t>
      </w:r>
      <w:r w:rsidR="00384BF7">
        <w:t xml:space="preserve">action is </w:t>
      </w:r>
      <w:r w:rsidR="001653EF">
        <w:t xml:space="preserve">presumptively legitimate </w:t>
      </w:r>
      <w:proofErr w:type="gramStart"/>
      <w:r w:rsidR="001653EF">
        <w:t>as long as</w:t>
      </w:r>
      <w:proofErr w:type="gramEnd"/>
      <w:r w:rsidR="001653EF">
        <w:t xml:space="preserve"> any rational basis is conceivable. </w:t>
      </w:r>
      <w:r w:rsidR="001653EF">
        <w:rPr>
          <w:i/>
          <w:iCs/>
        </w:rPr>
        <w:t>Id.</w:t>
      </w:r>
      <w:r w:rsidR="003B4660">
        <w:t xml:space="preserve"> at 656</w:t>
      </w:r>
      <w:r w:rsidR="00616BCE">
        <w:t>–</w:t>
      </w:r>
      <w:r w:rsidR="003B4660">
        <w:t>57</w:t>
      </w:r>
      <w:r w:rsidR="001653EF">
        <w:t xml:space="preserve"> (</w:t>
      </w:r>
      <w:r w:rsidR="008C3DA1">
        <w:t xml:space="preserve">plaintiff challenging the PACT </w:t>
      </w:r>
      <w:r w:rsidR="008C3DA1">
        <w:lastRenderedPageBreak/>
        <w:t xml:space="preserve">Act must meet a “high burden to negative every conceivable basis </w:t>
      </w:r>
      <w:r w:rsidR="00817FB3">
        <w:t>which might support</w:t>
      </w:r>
      <w:r w:rsidR="008C3DA1">
        <w:t>”</w:t>
      </w:r>
      <w:r w:rsidR="00817FB3">
        <w:t xml:space="preserve"> it</w:t>
      </w:r>
      <w:r w:rsidR="001653EF">
        <w:t>)</w:t>
      </w:r>
      <w:r w:rsidR="003B4660">
        <w:t xml:space="preserve"> (quoting </w:t>
      </w:r>
      <w:r w:rsidR="003B4660">
        <w:rPr>
          <w:i/>
          <w:iCs/>
        </w:rPr>
        <w:t xml:space="preserve">FCC v. Beach </w:t>
      </w:r>
      <w:proofErr w:type="spellStart"/>
      <w:r w:rsidR="003B4660">
        <w:rPr>
          <w:i/>
          <w:iCs/>
        </w:rPr>
        <w:t>Communs</w:t>
      </w:r>
      <w:proofErr w:type="spellEnd"/>
      <w:r w:rsidR="003B4660">
        <w:rPr>
          <w:i/>
          <w:iCs/>
        </w:rPr>
        <w:t>., Inc.</w:t>
      </w:r>
      <w:r w:rsidR="00817FB3">
        <w:t>, 508 U.S. 307, 315 (1993))</w:t>
      </w:r>
      <w:r w:rsidR="001653EF">
        <w:t>.</w:t>
      </w:r>
    </w:p>
    <w:p w14:paraId="012FB875" w14:textId="77777777" w:rsidR="004C4D6F" w:rsidRDefault="00361D7D" w:rsidP="004A58D2">
      <w:pPr>
        <w:shd w:val="clear" w:color="auto" w:fill="FFFFFF"/>
        <w:ind w:firstLine="720"/>
        <w:rPr>
          <w:rFonts w:cs="Arial"/>
        </w:rPr>
      </w:pPr>
      <w:r>
        <w:rPr>
          <w:rFonts w:cs="Arial"/>
        </w:rPr>
        <w:t>It does not require much to conceive of a legislative rationale</w:t>
      </w:r>
      <w:r w:rsidR="00F64DCE">
        <w:rPr>
          <w:rFonts w:cs="Arial"/>
        </w:rPr>
        <w:t xml:space="preserve"> in this case</w:t>
      </w:r>
      <w:r>
        <w:rPr>
          <w:rFonts w:cs="Arial"/>
        </w:rPr>
        <w:t>.</w:t>
      </w:r>
      <w:r w:rsidR="00951D6B">
        <w:rPr>
          <w:rFonts w:cs="Arial"/>
        </w:rPr>
        <w:t xml:space="preserve"> Although the task is “by no means restricted to the stated reasons for passing a law,”</w:t>
      </w:r>
      <w:r w:rsidR="00211186">
        <w:rPr>
          <w:rFonts w:cs="Arial"/>
        </w:rPr>
        <w:t xml:space="preserve"> the statute here expressly offers </w:t>
      </w:r>
      <w:r w:rsidR="00237DED">
        <w:rPr>
          <w:rFonts w:cs="Arial"/>
        </w:rPr>
        <w:t xml:space="preserve">multiple </w:t>
      </w:r>
      <w:r w:rsidR="00211186">
        <w:rPr>
          <w:rFonts w:cs="Arial"/>
        </w:rPr>
        <w:t>rationa</w:t>
      </w:r>
      <w:r w:rsidR="00B20ADD">
        <w:rPr>
          <w:rFonts w:cs="Arial"/>
        </w:rPr>
        <w:t xml:space="preserve">l bases for a mailing ban on ENDS products. </w:t>
      </w:r>
      <w:r w:rsidR="00B20ADD" w:rsidRPr="00AF27CF">
        <w:rPr>
          <w:rFonts w:cs="Arial"/>
        </w:rPr>
        <w:t>See</w:t>
      </w:r>
      <w:r w:rsidR="00B20ADD">
        <w:rPr>
          <w:rFonts w:cs="Arial"/>
          <w:i/>
          <w:iCs/>
        </w:rPr>
        <w:t xml:space="preserve"> id.</w:t>
      </w:r>
      <w:r w:rsidR="00B20ADD">
        <w:rPr>
          <w:rFonts w:cs="Arial"/>
        </w:rPr>
        <w:t xml:space="preserve"> at 657.</w:t>
      </w:r>
    </w:p>
    <w:p w14:paraId="571374D9" w14:textId="6DE5D1A7" w:rsidR="004C4D6F" w:rsidRDefault="00FC7B3C" w:rsidP="004A58D2">
      <w:pPr>
        <w:shd w:val="clear" w:color="auto" w:fill="FFFFFF"/>
        <w:ind w:firstLine="720"/>
        <w:rPr>
          <w:rFonts w:cs="Arial"/>
        </w:rPr>
      </w:pPr>
      <w:r>
        <w:rPr>
          <w:rFonts w:cs="Arial"/>
        </w:rPr>
        <w:t>By modifying the PACT Act</w:t>
      </w:r>
      <w:r w:rsidR="00B448F0">
        <w:rPr>
          <w:rFonts w:cs="Arial"/>
        </w:rPr>
        <w:t>’s definition of “cigarettes”</w:t>
      </w:r>
      <w:r>
        <w:rPr>
          <w:rFonts w:cs="Arial"/>
        </w:rPr>
        <w:t xml:space="preserve"> </w:t>
      </w:r>
      <w:r w:rsidR="00B448F0">
        <w:rPr>
          <w:rFonts w:cs="Arial"/>
        </w:rPr>
        <w:t xml:space="preserve">to extend to ENDS products, the </w:t>
      </w:r>
      <w:r w:rsidR="00CB4123">
        <w:rPr>
          <w:rFonts w:cs="Arial"/>
        </w:rPr>
        <w:t xml:space="preserve">116th </w:t>
      </w:r>
      <w:r w:rsidR="00B448F0">
        <w:rPr>
          <w:rFonts w:cs="Arial"/>
        </w:rPr>
        <w:t xml:space="preserve">Congress effectively incorporated ENDS products into the statement of </w:t>
      </w:r>
      <w:r w:rsidR="00425A52">
        <w:rPr>
          <w:rFonts w:cs="Arial"/>
        </w:rPr>
        <w:t xml:space="preserve">findings and </w:t>
      </w:r>
      <w:r w:rsidR="00B448F0">
        <w:rPr>
          <w:rFonts w:cs="Arial"/>
        </w:rPr>
        <w:t xml:space="preserve">purposes </w:t>
      </w:r>
      <w:r w:rsidR="00425A52">
        <w:rPr>
          <w:rFonts w:cs="Arial"/>
        </w:rPr>
        <w:t xml:space="preserve">underlying </w:t>
      </w:r>
      <w:r w:rsidR="00B448F0">
        <w:rPr>
          <w:rFonts w:cs="Arial"/>
        </w:rPr>
        <w:t xml:space="preserve">the PACT Act. </w:t>
      </w:r>
      <w:r w:rsidR="00934456">
        <w:rPr>
          <w:rFonts w:cs="Arial"/>
        </w:rPr>
        <w:t>Pub. L.</w:t>
      </w:r>
      <w:r w:rsidR="00F81024">
        <w:rPr>
          <w:rFonts w:cs="Arial"/>
        </w:rPr>
        <w:t xml:space="preserve"> 111</w:t>
      </w:r>
      <w:r w:rsidR="00F04997">
        <w:rPr>
          <w:rFonts w:cs="Arial"/>
        </w:rPr>
        <w:t>–</w:t>
      </w:r>
      <w:r w:rsidR="00F81024">
        <w:rPr>
          <w:rFonts w:cs="Arial"/>
        </w:rPr>
        <w:t xml:space="preserve">154, </w:t>
      </w:r>
      <w:r w:rsidR="00934456">
        <w:rPr>
          <w:rFonts w:cs="Arial"/>
        </w:rPr>
        <w:t xml:space="preserve">sec. </w:t>
      </w:r>
      <w:r w:rsidR="00425A52">
        <w:rPr>
          <w:rFonts w:cs="Arial"/>
        </w:rPr>
        <w:t>1(b)</w:t>
      </w:r>
      <w:r w:rsidR="0033080F">
        <w:rPr>
          <w:rFonts w:cs="Arial"/>
        </w:rPr>
        <w:t>–</w:t>
      </w:r>
      <w:r w:rsidR="00425A52">
        <w:rPr>
          <w:rFonts w:cs="Arial"/>
        </w:rPr>
        <w:t>(c), 124 Stat. 1087</w:t>
      </w:r>
      <w:r w:rsidR="00D2117F">
        <w:rPr>
          <w:rFonts w:cs="Arial"/>
        </w:rPr>
        <w:t>–</w:t>
      </w:r>
      <w:r w:rsidR="00425A52">
        <w:rPr>
          <w:rFonts w:cs="Arial"/>
        </w:rPr>
        <w:t>1088.</w:t>
      </w:r>
      <w:r w:rsidR="004C0D4C">
        <w:rPr>
          <w:rFonts w:cs="Arial"/>
        </w:rPr>
        <w:t xml:space="preserve"> </w:t>
      </w:r>
      <w:r w:rsidR="00CB4123">
        <w:rPr>
          <w:rFonts w:cs="Arial"/>
        </w:rPr>
        <w:t>For example, the 116th Congress presumably believed that “</w:t>
      </w:r>
      <w:r w:rsidR="00042ADB" w:rsidRPr="00042ADB">
        <w:rPr>
          <w:rFonts w:cs="Arial"/>
        </w:rPr>
        <w:t>the sale of illegal cigarettes</w:t>
      </w:r>
      <w:r w:rsidR="00F64DCE">
        <w:rPr>
          <w:rFonts w:cs="Arial"/>
        </w:rPr>
        <w:t xml:space="preserve"> [now including ENDS products]</w:t>
      </w:r>
      <w:r w:rsidR="00042ADB" w:rsidRPr="00042ADB">
        <w:rPr>
          <w:rFonts w:cs="Arial"/>
        </w:rPr>
        <w:t xml:space="preserve"> and smokeless tobacco</w:t>
      </w:r>
      <w:r w:rsidR="00042ADB">
        <w:rPr>
          <w:rFonts w:cs="Arial"/>
        </w:rPr>
        <w:t xml:space="preserve"> </w:t>
      </w:r>
      <w:r w:rsidR="00042ADB" w:rsidRPr="00042ADB">
        <w:rPr>
          <w:rFonts w:cs="Arial"/>
        </w:rPr>
        <w:t>over the Internet, and through mail, fax, or phone orders,</w:t>
      </w:r>
      <w:r w:rsidR="00042ADB">
        <w:rPr>
          <w:rFonts w:cs="Arial"/>
        </w:rPr>
        <w:t xml:space="preserve"> </w:t>
      </w:r>
      <w:r w:rsidR="00042ADB" w:rsidRPr="00042ADB">
        <w:rPr>
          <w:rFonts w:cs="Arial"/>
        </w:rPr>
        <w:t>makes it cheaper and easier for children to obtain tobacco</w:t>
      </w:r>
      <w:r w:rsidR="00042ADB">
        <w:rPr>
          <w:rFonts w:cs="Arial"/>
        </w:rPr>
        <w:t xml:space="preserve"> </w:t>
      </w:r>
      <w:r w:rsidR="00042ADB" w:rsidRPr="00042ADB">
        <w:rPr>
          <w:rFonts w:cs="Arial"/>
        </w:rPr>
        <w:t>products</w:t>
      </w:r>
      <w:r w:rsidR="00042ADB">
        <w:rPr>
          <w:rFonts w:cs="Arial"/>
        </w:rPr>
        <w:t>”</w:t>
      </w:r>
      <w:r w:rsidR="00135F87">
        <w:rPr>
          <w:rFonts w:cs="Arial"/>
        </w:rPr>
        <w:t xml:space="preserve"> and that a mailing ban would “</w:t>
      </w:r>
      <w:r w:rsidR="004A58D2" w:rsidRPr="004A58D2">
        <w:rPr>
          <w:rFonts w:cs="Arial"/>
        </w:rPr>
        <w:t>prevent and reduce youth access to inexpensive cigarettes</w:t>
      </w:r>
      <w:r w:rsidR="004A58D2">
        <w:rPr>
          <w:rFonts w:cs="Arial"/>
        </w:rPr>
        <w:t xml:space="preserve"> </w:t>
      </w:r>
      <w:r w:rsidR="00BC0003">
        <w:rPr>
          <w:rFonts w:cs="Arial"/>
        </w:rPr>
        <w:t xml:space="preserve">[including ENDS products] </w:t>
      </w:r>
      <w:r w:rsidR="004A58D2" w:rsidRPr="004A58D2">
        <w:rPr>
          <w:rFonts w:cs="Arial"/>
        </w:rPr>
        <w:t>and smokeless tobacco through illegal Internet or contraband</w:t>
      </w:r>
      <w:r w:rsidR="004A58D2">
        <w:rPr>
          <w:rFonts w:cs="Arial"/>
        </w:rPr>
        <w:t xml:space="preserve"> </w:t>
      </w:r>
      <w:r w:rsidR="004A58D2" w:rsidRPr="004A58D2">
        <w:rPr>
          <w:rFonts w:cs="Arial"/>
        </w:rPr>
        <w:t>sales</w:t>
      </w:r>
      <w:r w:rsidR="00135F87">
        <w:rPr>
          <w:rFonts w:cs="Arial"/>
        </w:rPr>
        <w:t>”</w:t>
      </w:r>
      <w:r w:rsidR="00042ADB">
        <w:rPr>
          <w:rFonts w:cs="Arial"/>
        </w:rPr>
        <w:t xml:space="preserve">: indeed, the title of the POSECCA </w:t>
      </w:r>
      <w:r w:rsidR="00BC0003">
        <w:rPr>
          <w:rFonts w:cs="Arial"/>
        </w:rPr>
        <w:t xml:space="preserve">and the relevant House committee report indicate </w:t>
      </w:r>
      <w:r w:rsidR="00042ADB">
        <w:rPr>
          <w:rFonts w:cs="Arial"/>
        </w:rPr>
        <w:t>as much.</w:t>
      </w:r>
      <w:r w:rsidR="00361D7D">
        <w:rPr>
          <w:rFonts w:cs="Arial"/>
        </w:rPr>
        <w:t xml:space="preserve"> </w:t>
      </w:r>
      <w:r w:rsidR="00361D7D" w:rsidRPr="00AF27CF">
        <w:rPr>
          <w:rFonts w:cs="Arial"/>
          <w:i/>
          <w:iCs/>
        </w:rPr>
        <w:t>See</w:t>
      </w:r>
      <w:r w:rsidR="00361D7D">
        <w:rPr>
          <w:rFonts w:cs="Arial"/>
        </w:rPr>
        <w:t xml:space="preserve"> </w:t>
      </w:r>
      <w:r w:rsidR="00361D7D">
        <w:rPr>
          <w:rFonts w:cs="Arial"/>
          <w:i/>
          <w:iCs/>
        </w:rPr>
        <w:t>id.</w:t>
      </w:r>
      <w:r w:rsidR="00361D7D">
        <w:rPr>
          <w:rFonts w:cs="Arial"/>
        </w:rPr>
        <w:t xml:space="preserve"> at </w:t>
      </w:r>
      <w:r w:rsidR="00D2117F">
        <w:rPr>
          <w:rFonts w:cs="Arial"/>
        </w:rPr>
        <w:t xml:space="preserve">section </w:t>
      </w:r>
      <w:r w:rsidR="00361D7D">
        <w:rPr>
          <w:rFonts w:cs="Arial"/>
        </w:rPr>
        <w:t>1(b)(4)</w:t>
      </w:r>
      <w:proofErr w:type="gramStart"/>
      <w:r w:rsidR="00D2117F">
        <w:rPr>
          <w:rFonts w:cs="Arial"/>
        </w:rPr>
        <w:t>–</w:t>
      </w:r>
      <w:r w:rsidR="00C25727">
        <w:rPr>
          <w:rFonts w:cs="Arial"/>
        </w:rPr>
        <w:t>(</w:t>
      </w:r>
      <w:proofErr w:type="gramEnd"/>
      <w:r w:rsidR="00C25727">
        <w:rPr>
          <w:rFonts w:cs="Arial"/>
        </w:rPr>
        <w:t>5)</w:t>
      </w:r>
      <w:r w:rsidR="004A58D2">
        <w:rPr>
          <w:rFonts w:cs="Arial"/>
        </w:rPr>
        <w:t>, (c)(6)</w:t>
      </w:r>
      <w:r w:rsidR="00D941A0">
        <w:rPr>
          <w:rFonts w:cs="Arial"/>
        </w:rPr>
        <w:t>; H. Rep</w:t>
      </w:r>
      <w:r w:rsidR="006E06FC">
        <w:rPr>
          <w:rFonts w:cs="Arial"/>
        </w:rPr>
        <w:t>t</w:t>
      </w:r>
      <w:r w:rsidR="00D941A0">
        <w:rPr>
          <w:rFonts w:cs="Arial"/>
        </w:rPr>
        <w:t xml:space="preserve">. </w:t>
      </w:r>
      <w:r w:rsidR="00AE1CA9">
        <w:rPr>
          <w:rFonts w:cs="Arial"/>
        </w:rPr>
        <w:t>116–</w:t>
      </w:r>
      <w:r w:rsidR="00D941A0">
        <w:rPr>
          <w:rFonts w:cs="Arial"/>
        </w:rPr>
        <w:t xml:space="preserve">260 at </w:t>
      </w:r>
      <w:r w:rsidR="00BC0003">
        <w:rPr>
          <w:rFonts w:cs="Arial"/>
        </w:rPr>
        <w:t>3</w:t>
      </w:r>
      <w:r w:rsidR="00D2117F">
        <w:rPr>
          <w:rFonts w:cs="Arial"/>
        </w:rPr>
        <w:t>–</w:t>
      </w:r>
      <w:r w:rsidR="00BC0003">
        <w:rPr>
          <w:rFonts w:cs="Arial"/>
        </w:rPr>
        <w:t>4</w:t>
      </w:r>
      <w:r w:rsidR="001C350E">
        <w:rPr>
          <w:rFonts w:cs="Arial"/>
        </w:rPr>
        <w:t xml:space="preserve"> (2019)</w:t>
      </w:r>
      <w:r w:rsidR="004A58D2">
        <w:rPr>
          <w:rFonts w:cs="Arial"/>
        </w:rPr>
        <w:t>.</w:t>
      </w:r>
    </w:p>
    <w:p w14:paraId="34D33EEC" w14:textId="43E68438" w:rsidR="004C4D6F" w:rsidRDefault="00E7267C" w:rsidP="004A58D2">
      <w:pPr>
        <w:shd w:val="clear" w:color="auto" w:fill="FFFFFF"/>
        <w:ind w:firstLine="720"/>
        <w:rPr>
          <w:rFonts w:cs="Arial"/>
        </w:rPr>
      </w:pPr>
      <w:r>
        <w:rPr>
          <w:rFonts w:cs="Arial"/>
        </w:rPr>
        <w:t xml:space="preserve">Contrary to the commenters’ </w:t>
      </w:r>
      <w:r w:rsidR="000A41A3">
        <w:rPr>
          <w:rFonts w:cs="Arial"/>
        </w:rPr>
        <w:t xml:space="preserve">overbreadth </w:t>
      </w:r>
      <w:r>
        <w:rPr>
          <w:rFonts w:cs="Arial"/>
        </w:rPr>
        <w:t xml:space="preserve">argument, the PACT Act’s purposes </w:t>
      </w:r>
      <w:r w:rsidR="002E6DE6">
        <w:rPr>
          <w:rFonts w:cs="Arial"/>
        </w:rPr>
        <w:t xml:space="preserve">are not limited to youth access. </w:t>
      </w:r>
      <w:r w:rsidR="00237DED">
        <w:rPr>
          <w:rFonts w:cs="Arial"/>
        </w:rPr>
        <w:t>Other stated purposes of the PACT Act</w:t>
      </w:r>
      <w:r w:rsidR="004F44B0">
        <w:rPr>
          <w:rFonts w:cs="Arial"/>
        </w:rPr>
        <w:t>—</w:t>
      </w:r>
      <w:r w:rsidR="006F41F7">
        <w:rPr>
          <w:rFonts w:cs="Arial"/>
        </w:rPr>
        <w:t>combating illegal trafficking</w:t>
      </w:r>
      <w:r w:rsidR="00C25727">
        <w:rPr>
          <w:rFonts w:cs="Arial"/>
        </w:rPr>
        <w:t xml:space="preserve">, </w:t>
      </w:r>
      <w:r w:rsidR="006F41F7">
        <w:rPr>
          <w:rFonts w:cs="Arial"/>
        </w:rPr>
        <w:t>circumvention of state and local laws</w:t>
      </w:r>
      <w:r w:rsidR="00C25727">
        <w:rPr>
          <w:rFonts w:cs="Arial"/>
        </w:rPr>
        <w:t>, and unfair competition</w:t>
      </w:r>
      <w:r w:rsidR="007E2E21">
        <w:rPr>
          <w:rFonts w:cs="Arial"/>
        </w:rPr>
        <w:t xml:space="preserve"> with law-abiding retailers</w:t>
      </w:r>
      <w:r w:rsidR="004F44B0">
        <w:rPr>
          <w:rFonts w:cs="Arial"/>
        </w:rPr>
        <w:t>—</w:t>
      </w:r>
      <w:r w:rsidR="000A41A3">
        <w:rPr>
          <w:rFonts w:cs="Arial"/>
        </w:rPr>
        <w:t xml:space="preserve">implicate adult as well as youth consumers and </w:t>
      </w:r>
      <w:r w:rsidR="006F41F7">
        <w:rPr>
          <w:rFonts w:cs="Arial"/>
        </w:rPr>
        <w:t xml:space="preserve">can apply </w:t>
      </w:r>
      <w:r w:rsidR="0042100D">
        <w:rPr>
          <w:rFonts w:cs="Arial"/>
        </w:rPr>
        <w:t xml:space="preserve">as easily to ENDS products as to cigarettes and </w:t>
      </w:r>
      <w:r w:rsidR="0042100D">
        <w:rPr>
          <w:rFonts w:cs="Arial"/>
        </w:rPr>
        <w:lastRenderedPageBreak/>
        <w:t xml:space="preserve">smokeless tobacco. </w:t>
      </w:r>
      <w:r w:rsidR="0042100D" w:rsidRPr="00AF27CF">
        <w:rPr>
          <w:rFonts w:cs="Arial"/>
        </w:rPr>
        <w:t>See</w:t>
      </w:r>
      <w:r w:rsidR="0042100D">
        <w:rPr>
          <w:rFonts w:cs="Arial"/>
          <w:i/>
          <w:iCs/>
        </w:rPr>
        <w:t xml:space="preserve"> id.</w:t>
      </w:r>
      <w:r w:rsidR="0042100D">
        <w:rPr>
          <w:rFonts w:cs="Arial"/>
        </w:rPr>
        <w:t xml:space="preserve"> at </w:t>
      </w:r>
      <w:r w:rsidR="00D2117F">
        <w:rPr>
          <w:rFonts w:cs="Arial"/>
        </w:rPr>
        <w:t xml:space="preserve">section </w:t>
      </w:r>
      <w:r w:rsidR="0042100D">
        <w:rPr>
          <w:rFonts w:cs="Arial"/>
        </w:rPr>
        <w:t>1(b)(1)</w:t>
      </w:r>
      <w:proofErr w:type="gramStart"/>
      <w:r w:rsidR="00D2117F">
        <w:rPr>
          <w:rFonts w:cs="Arial"/>
        </w:rPr>
        <w:t>–</w:t>
      </w:r>
      <w:r w:rsidR="007E2E21">
        <w:rPr>
          <w:rFonts w:cs="Arial"/>
        </w:rPr>
        <w:t>(</w:t>
      </w:r>
      <w:proofErr w:type="gramEnd"/>
      <w:r w:rsidR="007E2E21">
        <w:rPr>
          <w:rFonts w:cs="Arial"/>
        </w:rPr>
        <w:t>3), (b)(6)</w:t>
      </w:r>
      <w:r w:rsidR="00D2117F">
        <w:rPr>
          <w:rFonts w:cs="Arial"/>
        </w:rPr>
        <w:t>–</w:t>
      </w:r>
      <w:r w:rsidR="007E2E21">
        <w:rPr>
          <w:rFonts w:cs="Arial"/>
        </w:rPr>
        <w:t>(7)</w:t>
      </w:r>
      <w:r w:rsidR="008A6442">
        <w:rPr>
          <w:rFonts w:cs="Arial"/>
        </w:rPr>
        <w:t>, (c)(1)</w:t>
      </w:r>
      <w:r w:rsidR="00D2117F">
        <w:rPr>
          <w:rFonts w:cs="Arial"/>
        </w:rPr>
        <w:t>–</w:t>
      </w:r>
      <w:r w:rsidR="008A6442">
        <w:rPr>
          <w:rFonts w:cs="Arial"/>
        </w:rPr>
        <w:t xml:space="preserve">(5); </w:t>
      </w:r>
      <w:r w:rsidR="008A6442">
        <w:rPr>
          <w:rFonts w:cs="Arial"/>
          <w:i/>
          <w:iCs/>
        </w:rPr>
        <w:t>Gordon</w:t>
      </w:r>
      <w:r w:rsidR="008A6442">
        <w:rPr>
          <w:rFonts w:cs="Arial"/>
        </w:rPr>
        <w:t xml:space="preserve">, </w:t>
      </w:r>
      <w:r w:rsidR="004E2DCB">
        <w:rPr>
          <w:rFonts w:cs="Arial"/>
        </w:rPr>
        <w:t>721 F.3d at 657.</w:t>
      </w:r>
    </w:p>
    <w:p w14:paraId="01DB1A3F" w14:textId="4CC85D34" w:rsidR="00A83614" w:rsidRDefault="003F3A1B" w:rsidP="004A58D2">
      <w:pPr>
        <w:shd w:val="clear" w:color="auto" w:fill="FFFFFF"/>
        <w:ind w:firstLine="720"/>
        <w:rPr>
          <w:rFonts w:cs="Arial"/>
        </w:rPr>
      </w:pPr>
      <w:r>
        <w:rPr>
          <w:rFonts w:cs="Arial"/>
        </w:rPr>
        <w:t>So, too, can Congress’s judgment that a</w:t>
      </w:r>
      <w:r w:rsidR="00880002">
        <w:rPr>
          <w:rFonts w:cs="Arial"/>
        </w:rPr>
        <w:t>n outright</w:t>
      </w:r>
      <w:r>
        <w:rPr>
          <w:rFonts w:cs="Arial"/>
        </w:rPr>
        <w:t xml:space="preserve"> ban on the mailing of ENDS products</w:t>
      </w:r>
      <w:r w:rsidR="007E68C7">
        <w:rPr>
          <w:rFonts w:cs="Arial"/>
        </w:rPr>
        <w:t xml:space="preserve">, notwithstanding </w:t>
      </w:r>
      <w:r w:rsidR="000532BF">
        <w:rPr>
          <w:rFonts w:cs="Arial"/>
        </w:rPr>
        <w:t xml:space="preserve">the applicability of </w:t>
      </w:r>
      <w:r w:rsidR="007E68C7">
        <w:rPr>
          <w:rFonts w:cs="Arial"/>
        </w:rPr>
        <w:t>other</w:t>
      </w:r>
      <w:r w:rsidR="000532BF">
        <w:rPr>
          <w:rFonts w:cs="Arial"/>
        </w:rPr>
        <w:t>, more targeted</w:t>
      </w:r>
      <w:r w:rsidR="007E68C7">
        <w:rPr>
          <w:rFonts w:cs="Arial"/>
        </w:rPr>
        <w:t xml:space="preserve"> requirements and enforcement opportunities,</w:t>
      </w:r>
      <w:r>
        <w:rPr>
          <w:rFonts w:cs="Arial"/>
        </w:rPr>
        <w:t xml:space="preserve"> is necessary to address these harms. </w:t>
      </w:r>
      <w:r>
        <w:rPr>
          <w:rFonts w:cs="Arial"/>
          <w:i/>
          <w:iCs/>
        </w:rPr>
        <w:t>Gordon</w:t>
      </w:r>
      <w:r>
        <w:rPr>
          <w:rFonts w:cs="Arial"/>
        </w:rPr>
        <w:t>, 721 F.3d at 657.</w:t>
      </w:r>
    </w:p>
    <w:p w14:paraId="3E0328DE" w14:textId="40D902D1" w:rsidR="005E2A05" w:rsidRDefault="00212DE1" w:rsidP="004A58D2">
      <w:pPr>
        <w:shd w:val="clear" w:color="auto" w:fill="FFFFFF"/>
        <w:ind w:firstLine="720"/>
        <w:rPr>
          <w:rFonts w:cs="Arial"/>
        </w:rPr>
      </w:pPr>
      <w:r>
        <w:rPr>
          <w:rFonts w:cs="Arial"/>
        </w:rPr>
        <w:t xml:space="preserve">As discussed in section </w:t>
      </w:r>
      <w:r w:rsidR="00B855C7" w:rsidRPr="0022072C">
        <w:rPr>
          <w:rFonts w:cs="Arial"/>
        </w:rPr>
        <w:t>III.</w:t>
      </w:r>
      <w:r w:rsidR="00C7414F" w:rsidRPr="0022072C">
        <w:rPr>
          <w:rFonts w:cs="Arial"/>
        </w:rPr>
        <w:t>D.</w:t>
      </w:r>
      <w:r w:rsidR="00E36F98" w:rsidRPr="0022072C">
        <w:rPr>
          <w:rFonts w:cs="Arial"/>
        </w:rPr>
        <w:t>1.</w:t>
      </w:r>
      <w:r w:rsidR="00C7414F" w:rsidRPr="0022072C">
        <w:rPr>
          <w:rFonts w:cs="Arial"/>
        </w:rPr>
        <w:t>iii</w:t>
      </w:r>
      <w:r>
        <w:rPr>
          <w:rFonts w:cs="Arial"/>
        </w:rPr>
        <w:t xml:space="preserve">, many pro-ENDS commenters questioned the </w:t>
      </w:r>
      <w:r w:rsidR="00937414">
        <w:rPr>
          <w:rFonts w:cs="Arial"/>
        </w:rPr>
        <w:t xml:space="preserve">evidence of legislative intent to ban the mailing of ENDS products that do not contain nicotine. </w:t>
      </w:r>
      <w:r w:rsidR="002D1F55">
        <w:rPr>
          <w:rFonts w:cs="Arial"/>
        </w:rPr>
        <w:t>For purposes of the constitutionality discussion h</w:t>
      </w:r>
      <w:r w:rsidR="00DA36BC">
        <w:rPr>
          <w:rFonts w:cs="Arial"/>
        </w:rPr>
        <w:t xml:space="preserve">ere, </w:t>
      </w:r>
      <w:r w:rsidR="00FC2A63">
        <w:rPr>
          <w:rFonts w:cs="Arial"/>
        </w:rPr>
        <w:t xml:space="preserve">it is noted that </w:t>
      </w:r>
      <w:r w:rsidR="00A726B8">
        <w:rPr>
          <w:rFonts w:cs="Arial"/>
        </w:rPr>
        <w:t xml:space="preserve">plain language of the statute makes that intent clear, and </w:t>
      </w:r>
      <w:r w:rsidR="00FC2A63">
        <w:rPr>
          <w:rFonts w:cs="Arial"/>
        </w:rPr>
        <w:t xml:space="preserve">the legislative history does, in fact, </w:t>
      </w:r>
      <w:r w:rsidR="00A726B8">
        <w:rPr>
          <w:rFonts w:cs="Arial"/>
        </w:rPr>
        <w:t xml:space="preserve">attest to the framers’ </w:t>
      </w:r>
      <w:r w:rsidR="008D676B">
        <w:rPr>
          <w:rFonts w:cs="Arial"/>
        </w:rPr>
        <w:t xml:space="preserve">public-health concerns </w:t>
      </w:r>
      <w:r w:rsidR="00A726B8">
        <w:rPr>
          <w:rFonts w:cs="Arial"/>
        </w:rPr>
        <w:t xml:space="preserve">in relation </w:t>
      </w:r>
      <w:r w:rsidR="008D676B">
        <w:rPr>
          <w:rFonts w:cs="Arial"/>
        </w:rPr>
        <w:t xml:space="preserve">to non-nicotine-related ENDS products. </w:t>
      </w:r>
      <w:r w:rsidR="002A0BA9">
        <w:rPr>
          <w:rFonts w:cs="Arial"/>
        </w:rPr>
        <w:t xml:space="preserve">Even without </w:t>
      </w:r>
      <w:r w:rsidR="008D676B">
        <w:rPr>
          <w:rFonts w:cs="Arial"/>
        </w:rPr>
        <w:t xml:space="preserve">such </w:t>
      </w:r>
      <w:r w:rsidR="00A726B8">
        <w:rPr>
          <w:rFonts w:cs="Arial"/>
        </w:rPr>
        <w:t>expressions of intent</w:t>
      </w:r>
      <w:r w:rsidR="00720AFF">
        <w:rPr>
          <w:rFonts w:cs="Arial"/>
        </w:rPr>
        <w:t xml:space="preserve">, </w:t>
      </w:r>
      <w:r w:rsidR="00A726B8">
        <w:rPr>
          <w:rFonts w:cs="Arial"/>
        </w:rPr>
        <w:t xml:space="preserve">however, </w:t>
      </w:r>
      <w:r w:rsidR="0002040A">
        <w:rPr>
          <w:rFonts w:cs="Arial"/>
        </w:rPr>
        <w:t xml:space="preserve">there </w:t>
      </w:r>
      <w:r w:rsidR="002A0BA9">
        <w:rPr>
          <w:rFonts w:cs="Arial"/>
        </w:rPr>
        <w:t xml:space="preserve">would </w:t>
      </w:r>
      <w:r w:rsidR="0002040A">
        <w:rPr>
          <w:rFonts w:cs="Arial"/>
        </w:rPr>
        <w:t xml:space="preserve">certainly </w:t>
      </w:r>
      <w:r w:rsidR="002A0BA9">
        <w:rPr>
          <w:rFonts w:cs="Arial"/>
        </w:rPr>
        <w:t xml:space="preserve">be </w:t>
      </w:r>
      <w:r w:rsidR="0002040A">
        <w:rPr>
          <w:rFonts w:cs="Arial"/>
        </w:rPr>
        <w:t xml:space="preserve">a </w:t>
      </w:r>
      <w:r w:rsidR="004B210B">
        <w:rPr>
          <w:rFonts w:cs="Arial"/>
        </w:rPr>
        <w:t>rational basis for Congress to have specified the POSECCA’s breadth as it did</w:t>
      </w:r>
      <w:r w:rsidR="00720AFF">
        <w:rPr>
          <w:rFonts w:cs="Arial"/>
        </w:rPr>
        <w:t xml:space="preserve">. </w:t>
      </w:r>
      <w:r w:rsidR="00D7371A">
        <w:rPr>
          <w:rFonts w:cs="Arial"/>
        </w:rPr>
        <w:t>Given operational and legal constraints, i</w:t>
      </w:r>
      <w:r w:rsidR="009660CE">
        <w:rPr>
          <w:rFonts w:cs="Arial"/>
        </w:rPr>
        <w:t>t is not simple</w:t>
      </w:r>
      <w:r w:rsidR="00DD400F">
        <w:rPr>
          <w:rFonts w:cs="Arial"/>
        </w:rPr>
        <w:t>—</w:t>
      </w:r>
      <w:r w:rsidR="00BF1F0C">
        <w:rPr>
          <w:rFonts w:cs="Arial"/>
        </w:rPr>
        <w:t xml:space="preserve">indeed, it is </w:t>
      </w:r>
      <w:r w:rsidR="00DD400F">
        <w:rPr>
          <w:rFonts w:cs="Arial"/>
        </w:rPr>
        <w:t>generally impossible—</w:t>
      </w:r>
      <w:r w:rsidR="009660CE">
        <w:rPr>
          <w:rFonts w:cs="Arial"/>
        </w:rPr>
        <w:t xml:space="preserve">for Postal Service personnel prohibited from accepting or transmitting </w:t>
      </w:r>
      <w:r w:rsidR="00833F6D">
        <w:rPr>
          <w:rFonts w:cs="Arial"/>
        </w:rPr>
        <w:t xml:space="preserve">ENDS products to distinguish liquids that contain nicotine from those that do not, </w:t>
      </w:r>
      <w:r w:rsidR="003A6AC9">
        <w:rPr>
          <w:rFonts w:cs="Arial"/>
        </w:rPr>
        <w:t>and it is equally difficult for acceptance personnel to distinguish</w:t>
      </w:r>
      <w:r w:rsidR="00833F6D">
        <w:rPr>
          <w:rFonts w:cs="Arial"/>
        </w:rPr>
        <w:t xml:space="preserve"> devices intended to be used with nicotine-containing </w:t>
      </w:r>
      <w:r w:rsidR="003A6AC9">
        <w:rPr>
          <w:rFonts w:cs="Arial"/>
        </w:rPr>
        <w:t>versus</w:t>
      </w:r>
      <w:r w:rsidR="00D7371A">
        <w:rPr>
          <w:rFonts w:cs="Arial"/>
        </w:rPr>
        <w:t xml:space="preserve"> non-nicotine-containing liquids. </w:t>
      </w:r>
      <w:r w:rsidR="00DD400F">
        <w:rPr>
          <w:rFonts w:cs="Arial"/>
        </w:rPr>
        <w:t>Even barring any more specific motive for banning non-nicotine-related ENDS products from the mails, i</w:t>
      </w:r>
      <w:r w:rsidR="00D7371A">
        <w:rPr>
          <w:rFonts w:cs="Arial"/>
        </w:rPr>
        <w:t xml:space="preserve">t </w:t>
      </w:r>
      <w:r w:rsidR="00DD400F">
        <w:rPr>
          <w:rFonts w:cs="Arial"/>
        </w:rPr>
        <w:t xml:space="preserve">would be </w:t>
      </w:r>
      <w:r w:rsidR="00D7371A">
        <w:rPr>
          <w:rFonts w:cs="Arial"/>
        </w:rPr>
        <w:t xml:space="preserve">conceivable that Congress </w:t>
      </w:r>
      <w:r w:rsidR="00141890">
        <w:rPr>
          <w:rFonts w:cs="Arial"/>
        </w:rPr>
        <w:t xml:space="preserve">intended to </w:t>
      </w:r>
      <w:r w:rsidR="00033323">
        <w:rPr>
          <w:rFonts w:cs="Arial"/>
        </w:rPr>
        <w:t>ensure effective enforcement against nicotine-related ENDS products, rather than letting a safe harbor for non-</w:t>
      </w:r>
      <w:r w:rsidR="00033323">
        <w:rPr>
          <w:rFonts w:cs="Arial"/>
        </w:rPr>
        <w:lastRenderedPageBreak/>
        <w:t xml:space="preserve">nicotine-related ENDS products </w:t>
      </w:r>
      <w:r w:rsidR="00AF09B8">
        <w:rPr>
          <w:rFonts w:cs="Arial"/>
        </w:rPr>
        <w:t>get in the way of advancing Congress’s nicotine-related policy concerns.</w:t>
      </w:r>
    </w:p>
    <w:p w14:paraId="5CF619BF" w14:textId="188FDACF" w:rsidR="007964EC" w:rsidRDefault="000C6052" w:rsidP="004A58D2">
      <w:pPr>
        <w:shd w:val="clear" w:color="auto" w:fill="FFFFFF"/>
        <w:ind w:firstLine="720"/>
        <w:rPr>
          <w:rFonts w:cs="Arial"/>
        </w:rPr>
      </w:pPr>
      <w:r>
        <w:rPr>
          <w:rFonts w:cs="Arial"/>
        </w:rPr>
        <w:t>Again</w:t>
      </w:r>
      <w:r w:rsidR="00BB31E4">
        <w:rPr>
          <w:rFonts w:cs="Arial"/>
        </w:rPr>
        <w:t>, however, s</w:t>
      </w:r>
      <w:r w:rsidR="007964EC">
        <w:rPr>
          <w:rFonts w:cs="Arial"/>
        </w:rPr>
        <w:t xml:space="preserve">uch speculation is </w:t>
      </w:r>
      <w:r w:rsidR="002A0BA9">
        <w:rPr>
          <w:rFonts w:cs="Arial"/>
        </w:rPr>
        <w:t>un</w:t>
      </w:r>
      <w:r w:rsidR="007964EC">
        <w:rPr>
          <w:rFonts w:cs="Arial"/>
        </w:rPr>
        <w:t xml:space="preserve">necessary, because the youth-access and public-health concerns underlying the POSECCA were not restricted to nicotine. </w:t>
      </w:r>
      <w:r w:rsidR="00A47CB7">
        <w:rPr>
          <w:rFonts w:cs="Arial"/>
        </w:rPr>
        <w:t>The relevant House committee report cites information from the Centers for Disease Control and Prevention</w:t>
      </w:r>
      <w:r w:rsidR="00B56A6D">
        <w:rPr>
          <w:rFonts w:cs="Arial"/>
        </w:rPr>
        <w:t xml:space="preserve"> (CDC)</w:t>
      </w:r>
      <w:r w:rsidR="00A47CB7">
        <w:rPr>
          <w:rFonts w:cs="Arial"/>
        </w:rPr>
        <w:t xml:space="preserve"> about </w:t>
      </w:r>
      <w:r w:rsidR="007D00B2">
        <w:rPr>
          <w:rFonts w:cs="Arial"/>
        </w:rPr>
        <w:t>lung injuries associated with the use of ENDS products</w:t>
      </w:r>
      <w:r w:rsidR="00176EA7">
        <w:rPr>
          <w:rFonts w:cs="Arial"/>
        </w:rPr>
        <w:t>, which</w:t>
      </w:r>
      <w:r w:rsidR="005266C9">
        <w:rPr>
          <w:rFonts w:cs="Arial"/>
        </w:rPr>
        <w:t xml:space="preserve"> were ultimately—</w:t>
      </w:r>
      <w:r w:rsidR="003F7999">
        <w:rPr>
          <w:rFonts w:cs="Arial"/>
        </w:rPr>
        <w:t xml:space="preserve">after the committee report but </w:t>
      </w:r>
      <w:r w:rsidR="005266C9">
        <w:rPr>
          <w:rFonts w:cs="Arial"/>
        </w:rPr>
        <w:t xml:space="preserve">prior to </w:t>
      </w:r>
      <w:r w:rsidR="00E17AA1">
        <w:rPr>
          <w:rFonts w:cs="Arial"/>
        </w:rPr>
        <w:t xml:space="preserve">floor debate on and </w:t>
      </w:r>
      <w:r w:rsidR="005266C9">
        <w:rPr>
          <w:rFonts w:cs="Arial"/>
        </w:rPr>
        <w:t>passage of the POSECCA—</w:t>
      </w:r>
      <w:r w:rsidR="00B74B55">
        <w:rPr>
          <w:rFonts w:cs="Arial"/>
        </w:rPr>
        <w:t xml:space="preserve">attributed to </w:t>
      </w:r>
      <w:r w:rsidR="001C350E" w:rsidRPr="006A7087">
        <w:rPr>
          <w:rFonts w:cs="Arial"/>
        </w:rPr>
        <w:t xml:space="preserve">non-nicotine </w:t>
      </w:r>
      <w:r w:rsidR="001C350E">
        <w:rPr>
          <w:rFonts w:cs="Arial"/>
        </w:rPr>
        <w:t xml:space="preserve">constituents </w:t>
      </w:r>
      <w:r w:rsidR="00B74B55">
        <w:rPr>
          <w:rFonts w:cs="Arial"/>
        </w:rPr>
        <w:t xml:space="preserve">of </w:t>
      </w:r>
      <w:r w:rsidR="001C350E">
        <w:rPr>
          <w:rFonts w:cs="Arial"/>
        </w:rPr>
        <w:t>ENDS liquids. H. Rep</w:t>
      </w:r>
      <w:r w:rsidR="00A419C5">
        <w:rPr>
          <w:rFonts w:cs="Arial"/>
        </w:rPr>
        <w:t>t</w:t>
      </w:r>
      <w:r w:rsidR="001C350E">
        <w:rPr>
          <w:rFonts w:cs="Arial"/>
        </w:rPr>
        <w:t>. 116</w:t>
      </w:r>
      <w:r w:rsidR="00A419C5">
        <w:rPr>
          <w:rFonts w:cs="Arial"/>
        </w:rPr>
        <w:t>–</w:t>
      </w:r>
      <w:r w:rsidR="001C350E">
        <w:rPr>
          <w:rFonts w:cs="Arial"/>
        </w:rPr>
        <w:t xml:space="preserve">260 at </w:t>
      </w:r>
      <w:r w:rsidR="00B56A6D">
        <w:rPr>
          <w:rFonts w:cs="Arial"/>
        </w:rPr>
        <w:t>3 &amp; nn.22</w:t>
      </w:r>
      <w:r w:rsidR="00A419C5">
        <w:rPr>
          <w:rFonts w:cs="Arial"/>
        </w:rPr>
        <w:t>–</w:t>
      </w:r>
      <w:r w:rsidR="00B56A6D">
        <w:rPr>
          <w:rFonts w:cs="Arial"/>
        </w:rPr>
        <w:t>23</w:t>
      </w:r>
      <w:r w:rsidR="00D405C7">
        <w:rPr>
          <w:rFonts w:cs="Arial"/>
        </w:rPr>
        <w:t xml:space="preserve"> (citing</w:t>
      </w:r>
      <w:r w:rsidR="00B56A6D">
        <w:rPr>
          <w:rFonts w:cs="Arial"/>
        </w:rPr>
        <w:t xml:space="preserve"> CDC, </w:t>
      </w:r>
      <w:r w:rsidR="005C7222" w:rsidRPr="005C7222">
        <w:rPr>
          <w:rFonts w:cs="Arial"/>
        </w:rPr>
        <w:t>Outbreak of Lung Injury Associated with the Use of E-Cigarette, or Vaping, Products</w:t>
      </w:r>
      <w:r w:rsidR="00F6150D">
        <w:rPr>
          <w:rFonts w:cs="Arial"/>
        </w:rPr>
        <w:t xml:space="preserve">, </w:t>
      </w:r>
      <w:hyperlink r:id="rId11" w:history="1">
        <w:r w:rsidR="00D405C7" w:rsidRPr="0007663D">
          <w:rPr>
            <w:rStyle w:val="Hyperlink"/>
            <w:rFonts w:cs="Arial"/>
          </w:rPr>
          <w:t>https://go.usa.gov/xHd78</w:t>
        </w:r>
      </w:hyperlink>
      <w:r w:rsidR="00D405C7">
        <w:rPr>
          <w:rFonts w:cs="Arial"/>
        </w:rPr>
        <w:t xml:space="preserve"> (</w:t>
      </w:r>
      <w:r w:rsidR="00D405C7" w:rsidRPr="003C4794">
        <w:t xml:space="preserve">last </w:t>
      </w:r>
      <w:r w:rsidR="006B709F" w:rsidRPr="003C4794">
        <w:t>updated</w:t>
      </w:r>
      <w:r w:rsidR="00D405C7" w:rsidRPr="003C4794">
        <w:t xml:space="preserve"> </w:t>
      </w:r>
      <w:r w:rsidR="005266C9" w:rsidRPr="003C4794">
        <w:t>Feb. 25, 2020</w:t>
      </w:r>
      <w:r w:rsidR="00D405C7">
        <w:rPr>
          <w:rFonts w:cs="Arial"/>
        </w:rPr>
        <w:t>)).</w:t>
      </w:r>
      <w:r w:rsidR="00E17AA1">
        <w:rPr>
          <w:rFonts w:cs="Arial"/>
        </w:rPr>
        <w:t xml:space="preserve"> There is no indication in the legislative record that the POSECCA framers’ concern about ENDS-related lung injuries was conditional upon or limited to any eventual nexus specific to nicotine-related ENDS products.</w:t>
      </w:r>
    </w:p>
    <w:p w14:paraId="306AFC3C" w14:textId="67DD16AC" w:rsidR="00391D1A" w:rsidRPr="006A3A01" w:rsidRDefault="00A12231" w:rsidP="004A58D2">
      <w:pPr>
        <w:shd w:val="clear" w:color="auto" w:fill="FFFFFF"/>
        <w:ind w:firstLine="720"/>
        <w:rPr>
          <w:rFonts w:cs="Arial"/>
        </w:rPr>
      </w:pPr>
      <w:r>
        <w:rPr>
          <w:rFonts w:cs="Arial"/>
        </w:rPr>
        <w:t xml:space="preserve">Turning to the </w:t>
      </w:r>
      <w:r w:rsidR="00B46358">
        <w:rPr>
          <w:rFonts w:cs="Arial"/>
        </w:rPr>
        <w:t>vagueness</w:t>
      </w:r>
      <w:r>
        <w:rPr>
          <w:rFonts w:cs="Arial"/>
        </w:rPr>
        <w:t xml:space="preserve"> contention</w:t>
      </w:r>
      <w:r w:rsidR="00B46358">
        <w:rPr>
          <w:rFonts w:cs="Arial"/>
        </w:rPr>
        <w:t xml:space="preserve">, </w:t>
      </w:r>
      <w:r w:rsidR="00CA1353">
        <w:rPr>
          <w:rFonts w:cs="Arial"/>
        </w:rPr>
        <w:t xml:space="preserve">it is difficult to see what is </w:t>
      </w:r>
      <w:r w:rsidR="00176CD0">
        <w:rPr>
          <w:rFonts w:cs="Arial"/>
        </w:rPr>
        <w:t>“vague” about the POSECCA or the PACT Act. The POSECCA makes nonmailable</w:t>
      </w:r>
      <w:r w:rsidR="00322949">
        <w:rPr>
          <w:rFonts w:cs="Arial"/>
        </w:rPr>
        <w:t xml:space="preserve"> (with exceptions) </w:t>
      </w:r>
      <w:r w:rsidR="002F39FE">
        <w:rPr>
          <w:rFonts w:cs="Arial"/>
        </w:rPr>
        <w:t>“</w:t>
      </w:r>
      <w:r w:rsidR="00176CD0">
        <w:rPr>
          <w:rFonts w:cs="Arial"/>
        </w:rPr>
        <w:t xml:space="preserve">any </w:t>
      </w:r>
      <w:r w:rsidR="002F39FE">
        <w:rPr>
          <w:rFonts w:cs="Arial"/>
        </w:rPr>
        <w:t>electronic device that, through an aerosolized solution, delivers nicotine, flavor, or any other substance to the user inhaling from the device,” as well as “any component, liquid, part, or accessory” of such a device.</w:t>
      </w:r>
      <w:r w:rsidR="00020663">
        <w:rPr>
          <w:rFonts w:cs="Arial"/>
        </w:rPr>
        <w:t xml:space="preserve"> </w:t>
      </w:r>
      <w:r w:rsidR="005A10B9">
        <w:rPr>
          <w:rFonts w:cs="Arial"/>
        </w:rPr>
        <w:t>15 U.S.C. 375(7)(A)</w:t>
      </w:r>
      <w:r w:rsidR="007E5F99">
        <w:rPr>
          <w:rFonts w:cs="Arial"/>
        </w:rPr>
        <w:t>, (7)(B)(vii)</w:t>
      </w:r>
      <w:r w:rsidR="00020663">
        <w:rPr>
          <w:rFonts w:cs="Arial"/>
        </w:rPr>
        <w:t xml:space="preserve">. </w:t>
      </w:r>
      <w:r w:rsidR="006E0C12">
        <w:rPr>
          <w:rFonts w:cs="Arial"/>
        </w:rPr>
        <w:t xml:space="preserve">While </w:t>
      </w:r>
      <w:r w:rsidR="00D447B8">
        <w:rPr>
          <w:rFonts w:cs="Arial"/>
        </w:rPr>
        <w:t xml:space="preserve">certain </w:t>
      </w:r>
      <w:r w:rsidR="00C07467">
        <w:rPr>
          <w:rFonts w:cs="Arial"/>
        </w:rPr>
        <w:t>terms</w:t>
      </w:r>
      <w:r w:rsidR="00D447B8">
        <w:rPr>
          <w:rFonts w:cs="Arial"/>
        </w:rPr>
        <w:t xml:space="preserve"> may </w:t>
      </w:r>
      <w:r w:rsidR="00AD52A7">
        <w:rPr>
          <w:rFonts w:cs="Arial"/>
        </w:rPr>
        <w:t xml:space="preserve">benefit from </w:t>
      </w:r>
      <w:r w:rsidR="00D447B8">
        <w:rPr>
          <w:rFonts w:cs="Arial"/>
        </w:rPr>
        <w:t xml:space="preserve">interpretation pursuant to </w:t>
      </w:r>
      <w:r w:rsidR="007213F3">
        <w:rPr>
          <w:rFonts w:cs="Arial"/>
        </w:rPr>
        <w:t xml:space="preserve">well-established </w:t>
      </w:r>
      <w:r w:rsidR="00D447B8">
        <w:rPr>
          <w:rFonts w:cs="Arial"/>
        </w:rPr>
        <w:t xml:space="preserve">principles of </w:t>
      </w:r>
      <w:r w:rsidR="00322949">
        <w:rPr>
          <w:rFonts w:cs="Arial"/>
        </w:rPr>
        <w:t xml:space="preserve">administrative law, it cannot be said that the statute fails to </w:t>
      </w:r>
      <w:r w:rsidR="0014611E">
        <w:rPr>
          <w:rFonts w:cs="Arial"/>
        </w:rPr>
        <w:t xml:space="preserve">give </w:t>
      </w:r>
      <w:r w:rsidR="00322949">
        <w:rPr>
          <w:rFonts w:cs="Arial"/>
        </w:rPr>
        <w:t xml:space="preserve">the public or law-enforcement agencies </w:t>
      </w:r>
      <w:r w:rsidR="0014611E">
        <w:rPr>
          <w:rFonts w:cs="Arial"/>
        </w:rPr>
        <w:t xml:space="preserve">reasonable notice </w:t>
      </w:r>
      <w:r w:rsidR="00322949">
        <w:rPr>
          <w:rFonts w:cs="Arial"/>
        </w:rPr>
        <w:t>about what is prohibited.</w:t>
      </w:r>
      <w:r w:rsidR="0014611E">
        <w:rPr>
          <w:rFonts w:cs="Arial"/>
        </w:rPr>
        <w:t xml:space="preserve"> If anything, the POSECCA definition is more </w:t>
      </w:r>
      <w:r w:rsidR="001F0F68">
        <w:rPr>
          <w:rFonts w:cs="Arial"/>
        </w:rPr>
        <w:lastRenderedPageBreak/>
        <w:t>prescriptive</w:t>
      </w:r>
      <w:r w:rsidR="0014611E">
        <w:rPr>
          <w:rFonts w:cs="Arial"/>
        </w:rPr>
        <w:t xml:space="preserve"> than </w:t>
      </w:r>
      <w:r w:rsidR="006A3A01">
        <w:rPr>
          <w:rFonts w:cs="Arial"/>
        </w:rPr>
        <w:t xml:space="preserve">some other </w:t>
      </w:r>
      <w:r w:rsidR="00874164">
        <w:rPr>
          <w:rFonts w:cs="Arial"/>
        </w:rPr>
        <w:t xml:space="preserve">longstanding </w:t>
      </w:r>
      <w:r w:rsidR="006A3A01">
        <w:rPr>
          <w:rFonts w:cs="Arial"/>
        </w:rPr>
        <w:t xml:space="preserve">mailability statutes. </w:t>
      </w:r>
      <w:r w:rsidR="006A3A01" w:rsidRPr="00AF27CF">
        <w:rPr>
          <w:rFonts w:cs="Arial"/>
        </w:rPr>
        <w:t>Cf.</w:t>
      </w:r>
      <w:r w:rsidR="006A3A01">
        <w:rPr>
          <w:rFonts w:cs="Arial"/>
        </w:rPr>
        <w:t xml:space="preserve"> 18 U.S.C. 1716(</w:t>
      </w:r>
      <w:r w:rsidR="00EC594C">
        <w:rPr>
          <w:rFonts w:cs="Arial"/>
        </w:rPr>
        <w:t>a</w:t>
      </w:r>
      <w:r w:rsidR="00EF2813">
        <w:rPr>
          <w:rFonts w:cs="Arial"/>
        </w:rPr>
        <w:t>)</w:t>
      </w:r>
      <w:r w:rsidR="00EC594C">
        <w:rPr>
          <w:rFonts w:cs="Arial"/>
        </w:rPr>
        <w:t xml:space="preserve"> (“</w:t>
      </w:r>
      <w:r w:rsidR="00F77618">
        <w:t xml:space="preserve">hazardous materials, inflammable materials, infernal machines, and mechanical, chemical, or other devices or compositions which may ignite or explode, . . . and </w:t>
      </w:r>
      <w:r w:rsidR="001C2D1B">
        <w:t xml:space="preserve">all </w:t>
      </w:r>
      <w:r w:rsidR="00F77618">
        <w:t xml:space="preserve">other </w:t>
      </w:r>
      <w:r w:rsidR="001C2D1B">
        <w:t>natural or artificial articles, compositions, or material which may kill or injure another, or injure the mails or other property</w:t>
      </w:r>
      <w:r w:rsidR="00EC594C">
        <w:rPr>
          <w:rFonts w:cs="Arial"/>
        </w:rPr>
        <w:t>”)</w:t>
      </w:r>
      <w:r w:rsidR="009F6566">
        <w:rPr>
          <w:rFonts w:cs="Arial"/>
        </w:rPr>
        <w:t xml:space="preserve">; </w:t>
      </w:r>
      <w:r w:rsidR="009F6566">
        <w:rPr>
          <w:rFonts w:cs="Arial"/>
          <w:i/>
          <w:iCs/>
        </w:rPr>
        <w:t>id.</w:t>
      </w:r>
      <w:r w:rsidR="009F6566">
        <w:rPr>
          <w:rFonts w:cs="Arial"/>
        </w:rPr>
        <w:t xml:space="preserve"> at (j) (“</w:t>
      </w:r>
      <w:r w:rsidR="009F6566">
        <w:t>spirituous, vinous, malted, fermented, or other intoxicating liquors of any kind</w:t>
      </w:r>
      <w:r w:rsidR="009F6566">
        <w:rPr>
          <w:rFonts w:cs="Arial"/>
        </w:rPr>
        <w:t>”)</w:t>
      </w:r>
      <w:r w:rsidR="00EF2813">
        <w:rPr>
          <w:rFonts w:cs="Arial"/>
        </w:rPr>
        <w:t>.</w:t>
      </w:r>
      <w:r w:rsidR="00CC424F">
        <w:rPr>
          <w:rFonts w:cs="Arial"/>
        </w:rPr>
        <w:t xml:space="preserve"> While </w:t>
      </w:r>
      <w:r w:rsidR="001F0B61">
        <w:rPr>
          <w:rFonts w:cs="Arial"/>
        </w:rPr>
        <w:t xml:space="preserve">the POSECCA definition may be broad in a manner </w:t>
      </w:r>
      <w:r w:rsidR="00711C36">
        <w:rPr>
          <w:rFonts w:cs="Arial"/>
        </w:rPr>
        <w:t xml:space="preserve">that </w:t>
      </w:r>
      <w:r w:rsidR="001F0B61">
        <w:rPr>
          <w:rFonts w:cs="Arial"/>
        </w:rPr>
        <w:t xml:space="preserve">some persons </w:t>
      </w:r>
      <w:r w:rsidR="00711C36">
        <w:rPr>
          <w:rFonts w:cs="Arial"/>
        </w:rPr>
        <w:t>find objectionable</w:t>
      </w:r>
      <w:r w:rsidR="001F0B61">
        <w:rPr>
          <w:rFonts w:cs="Arial"/>
        </w:rPr>
        <w:t>, that is not the same as being vague.</w:t>
      </w:r>
    </w:p>
    <w:p w14:paraId="5E5E42AB" w14:textId="536B3192" w:rsidR="00B74B55" w:rsidRDefault="00B74B55" w:rsidP="004A58D2">
      <w:pPr>
        <w:shd w:val="clear" w:color="auto" w:fill="FFFFFF"/>
        <w:ind w:firstLine="720"/>
        <w:rPr>
          <w:rFonts w:cs="Arial"/>
        </w:rPr>
      </w:pPr>
      <w:r>
        <w:rPr>
          <w:rFonts w:cs="Arial"/>
        </w:rPr>
        <w:t xml:space="preserve">For </w:t>
      </w:r>
      <w:proofErr w:type="gramStart"/>
      <w:r>
        <w:rPr>
          <w:rFonts w:cs="Arial"/>
        </w:rPr>
        <w:t>all of</w:t>
      </w:r>
      <w:proofErr w:type="gramEnd"/>
      <w:r>
        <w:rPr>
          <w:rFonts w:cs="Arial"/>
        </w:rPr>
        <w:t xml:space="preserve"> these reasons, the Postal Service </w:t>
      </w:r>
      <w:r w:rsidR="00DB6FE1">
        <w:rPr>
          <w:rFonts w:cs="Arial"/>
        </w:rPr>
        <w:t xml:space="preserve">maintains that </w:t>
      </w:r>
      <w:r w:rsidR="00FC3AF5">
        <w:rPr>
          <w:rFonts w:cs="Arial"/>
        </w:rPr>
        <w:t xml:space="preserve">it is not constitutionally barred from </w:t>
      </w:r>
      <w:r w:rsidR="009934E7">
        <w:rPr>
          <w:rFonts w:cs="Arial"/>
        </w:rPr>
        <w:t>executing the POSECCA.</w:t>
      </w:r>
    </w:p>
    <w:p w14:paraId="4FF55022" w14:textId="01E0E4EB" w:rsidR="001C42BC" w:rsidRPr="000D3A79" w:rsidRDefault="001F2D7E" w:rsidP="000D3A79">
      <w:pPr>
        <w:ind w:firstLine="720"/>
        <w:rPr>
          <w:b/>
          <w:bCs/>
        </w:rPr>
      </w:pPr>
      <w:bookmarkStart w:id="13" w:name="_Toc79569800"/>
      <w:r w:rsidRPr="000D3A79">
        <w:rPr>
          <w:b/>
          <w:bCs/>
        </w:rPr>
        <w:t>C.</w:t>
      </w:r>
      <w:r w:rsidRPr="000D3A79">
        <w:rPr>
          <w:b/>
          <w:bCs/>
        </w:rPr>
        <w:tab/>
      </w:r>
      <w:r w:rsidR="00775C69" w:rsidRPr="000D3A79">
        <w:rPr>
          <w:b/>
          <w:bCs/>
        </w:rPr>
        <w:t>Relation to Other Laws</w:t>
      </w:r>
      <w:bookmarkEnd w:id="13"/>
    </w:p>
    <w:p w14:paraId="310EE59A" w14:textId="714756AC" w:rsidR="005B4ED1" w:rsidRPr="000D3A79" w:rsidRDefault="001F2D7E" w:rsidP="000D3A79">
      <w:pPr>
        <w:ind w:left="720" w:firstLine="720"/>
        <w:rPr>
          <w:b/>
          <w:bCs/>
        </w:rPr>
      </w:pPr>
      <w:r w:rsidRPr="000D3A79">
        <w:rPr>
          <w:b/>
          <w:bCs/>
        </w:rPr>
        <w:t>1.</w:t>
      </w:r>
      <w:r w:rsidRPr="000D3A79">
        <w:rPr>
          <w:b/>
          <w:bCs/>
        </w:rPr>
        <w:tab/>
      </w:r>
      <w:bookmarkStart w:id="14" w:name="_Toc79569801"/>
      <w:r w:rsidR="005B4ED1" w:rsidRPr="000D3A79">
        <w:rPr>
          <w:b/>
          <w:bCs/>
        </w:rPr>
        <w:t>FDA Regulation</w:t>
      </w:r>
      <w:r w:rsidR="004A7F11" w:rsidRPr="000D3A79">
        <w:rPr>
          <w:b/>
          <w:bCs/>
        </w:rPr>
        <w:t xml:space="preserve"> of </w:t>
      </w:r>
      <w:r w:rsidR="005C5DFA" w:rsidRPr="000D3A79">
        <w:rPr>
          <w:b/>
          <w:bCs/>
        </w:rPr>
        <w:t xml:space="preserve">Certain </w:t>
      </w:r>
      <w:r w:rsidR="004A7F11" w:rsidRPr="000D3A79">
        <w:rPr>
          <w:b/>
          <w:bCs/>
        </w:rPr>
        <w:t>ENDS as “Tobacco Products”</w:t>
      </w:r>
      <w:bookmarkEnd w:id="14"/>
    </w:p>
    <w:p w14:paraId="287A496D" w14:textId="45D9FE23" w:rsidR="00600B90" w:rsidRDefault="00E542D9" w:rsidP="00E542D9">
      <w:pPr>
        <w:shd w:val="clear" w:color="auto" w:fill="FFFFFF"/>
        <w:ind w:firstLine="720"/>
        <w:rPr>
          <w:rFonts w:cs="Arial"/>
        </w:rPr>
      </w:pPr>
      <w:r w:rsidRPr="00E542D9">
        <w:rPr>
          <w:rFonts w:cs="Arial"/>
        </w:rPr>
        <w:t xml:space="preserve">Multiple </w:t>
      </w:r>
      <w:r w:rsidR="00813159">
        <w:rPr>
          <w:rFonts w:cs="Arial"/>
        </w:rPr>
        <w:t xml:space="preserve">pro-ENDS </w:t>
      </w:r>
      <w:r w:rsidRPr="00E542D9">
        <w:rPr>
          <w:rFonts w:cs="Arial"/>
        </w:rPr>
        <w:t>commenters note</w:t>
      </w:r>
      <w:r w:rsidR="006219D5">
        <w:rPr>
          <w:rFonts w:cs="Arial"/>
        </w:rPr>
        <w:t>d</w:t>
      </w:r>
      <w:r w:rsidRPr="00E542D9">
        <w:rPr>
          <w:rFonts w:cs="Arial"/>
        </w:rPr>
        <w:t xml:space="preserve"> the FDA’s definition of ENDS as noncombustible tobacco products, assert</w:t>
      </w:r>
      <w:r w:rsidR="001E479F">
        <w:rPr>
          <w:rFonts w:cs="Arial"/>
        </w:rPr>
        <w:t>ed</w:t>
      </w:r>
      <w:r w:rsidRPr="00E542D9">
        <w:rPr>
          <w:rFonts w:cs="Arial"/>
        </w:rPr>
        <w:t xml:space="preserve"> that the FDA has confined the scope of its regulations to devices intended to be used with nicotine-containing </w:t>
      </w:r>
      <w:r w:rsidR="00813159">
        <w:rPr>
          <w:rFonts w:cs="Arial"/>
        </w:rPr>
        <w:t xml:space="preserve">ENDS </w:t>
      </w:r>
      <w:r w:rsidRPr="00E542D9">
        <w:rPr>
          <w:rFonts w:cs="Arial"/>
        </w:rPr>
        <w:t>liquids, and urge</w:t>
      </w:r>
      <w:r w:rsidR="001E479F">
        <w:rPr>
          <w:rFonts w:cs="Arial"/>
        </w:rPr>
        <w:t>d</w:t>
      </w:r>
      <w:r w:rsidRPr="00E542D9">
        <w:rPr>
          <w:rFonts w:cs="Arial"/>
        </w:rPr>
        <w:t xml:space="preserve"> us to harmonize the </w:t>
      </w:r>
      <w:r w:rsidR="00600B90">
        <w:rPr>
          <w:rFonts w:cs="Arial"/>
        </w:rPr>
        <w:t xml:space="preserve">POSECCA’s </w:t>
      </w:r>
      <w:r w:rsidRPr="00E542D9">
        <w:rPr>
          <w:rFonts w:cs="Arial"/>
        </w:rPr>
        <w:t xml:space="preserve">ENDS </w:t>
      </w:r>
      <w:r w:rsidR="00600B90">
        <w:rPr>
          <w:rFonts w:cs="Arial"/>
        </w:rPr>
        <w:t xml:space="preserve">definition </w:t>
      </w:r>
      <w:r w:rsidRPr="00E542D9">
        <w:rPr>
          <w:rFonts w:cs="Arial"/>
        </w:rPr>
        <w:t xml:space="preserve">with this purported </w:t>
      </w:r>
      <w:r w:rsidR="00600B90">
        <w:rPr>
          <w:rFonts w:cs="Arial"/>
        </w:rPr>
        <w:t xml:space="preserve">FDA </w:t>
      </w:r>
      <w:r w:rsidRPr="00E542D9">
        <w:rPr>
          <w:rFonts w:cs="Arial"/>
        </w:rPr>
        <w:t>policy.</w:t>
      </w:r>
      <w:r w:rsidR="00A124AC">
        <w:rPr>
          <w:rFonts w:cs="Arial"/>
        </w:rPr>
        <w:t xml:space="preserve"> At least one commenter </w:t>
      </w:r>
      <w:r w:rsidR="00354874">
        <w:rPr>
          <w:rFonts w:cs="Arial"/>
        </w:rPr>
        <w:t>point</w:t>
      </w:r>
      <w:r w:rsidR="006219D5">
        <w:rPr>
          <w:rFonts w:cs="Arial"/>
        </w:rPr>
        <w:t>ed</w:t>
      </w:r>
      <w:r w:rsidR="00354874">
        <w:rPr>
          <w:rFonts w:cs="Arial"/>
        </w:rPr>
        <w:t xml:space="preserve"> to the POSECCA’s</w:t>
      </w:r>
      <w:r w:rsidR="00A124AC">
        <w:rPr>
          <w:rFonts w:cs="Arial"/>
        </w:rPr>
        <w:t xml:space="preserve"> </w:t>
      </w:r>
      <w:r w:rsidR="00B35F90">
        <w:rPr>
          <w:rFonts w:cs="Arial"/>
        </w:rPr>
        <w:t>r</w:t>
      </w:r>
      <w:r w:rsidR="00A124AC" w:rsidRPr="00E542D9">
        <w:rPr>
          <w:rFonts w:cs="Arial"/>
        </w:rPr>
        <w:t xml:space="preserve">ule of </w:t>
      </w:r>
      <w:r w:rsidR="00B35F90">
        <w:rPr>
          <w:rFonts w:cs="Arial"/>
        </w:rPr>
        <w:t>c</w:t>
      </w:r>
      <w:r w:rsidR="00A124AC" w:rsidRPr="00E542D9">
        <w:rPr>
          <w:rFonts w:cs="Arial"/>
        </w:rPr>
        <w:t>onstruction</w:t>
      </w:r>
      <w:r w:rsidR="00261833">
        <w:rPr>
          <w:rFonts w:cs="Arial"/>
        </w:rPr>
        <w:t xml:space="preserve">, which provides that </w:t>
      </w:r>
      <w:r w:rsidR="008F0D29">
        <w:rPr>
          <w:rFonts w:cs="Arial"/>
        </w:rPr>
        <w:t xml:space="preserve">the POSECCA </w:t>
      </w:r>
      <w:r w:rsidR="00DA0F68">
        <w:rPr>
          <w:rFonts w:cs="Arial"/>
        </w:rPr>
        <w:t xml:space="preserve">definition </w:t>
      </w:r>
      <w:r w:rsidR="008F0D29">
        <w:rPr>
          <w:rFonts w:cs="Arial"/>
        </w:rPr>
        <w:t>shall not “</w:t>
      </w:r>
      <w:r w:rsidR="00A124AC" w:rsidRPr="00E542D9">
        <w:rPr>
          <w:rFonts w:cs="Arial"/>
        </w:rPr>
        <w:t xml:space="preserve">be construed to affect or otherwise alter any provision of the </w:t>
      </w:r>
      <w:r w:rsidR="004D104E">
        <w:rPr>
          <w:rFonts w:cs="Arial"/>
        </w:rPr>
        <w:t xml:space="preserve">Federal </w:t>
      </w:r>
      <w:r w:rsidR="004D104E">
        <w:rPr>
          <w:rFonts w:cs="Arial"/>
          <w:bCs/>
        </w:rPr>
        <w:t>Food, Drug, and Cosmetic Act (21 U.S.C. 301 et seq.)</w:t>
      </w:r>
      <w:r w:rsidR="00A124AC" w:rsidRPr="00E542D9">
        <w:rPr>
          <w:rFonts w:cs="Arial"/>
        </w:rPr>
        <w:t>, including its implementing regulations</w:t>
      </w:r>
      <w:r w:rsidR="008F0D29">
        <w:rPr>
          <w:rFonts w:cs="Arial"/>
        </w:rPr>
        <w:t>.</w:t>
      </w:r>
      <w:r w:rsidR="00A124AC" w:rsidRPr="00E542D9">
        <w:rPr>
          <w:rFonts w:cs="Arial"/>
        </w:rPr>
        <w:t>”</w:t>
      </w:r>
      <w:r w:rsidR="008F0D29">
        <w:rPr>
          <w:rFonts w:cs="Arial"/>
        </w:rPr>
        <w:t xml:space="preserve"> POSECCA </w:t>
      </w:r>
      <w:r w:rsidR="00D2117F">
        <w:rPr>
          <w:rFonts w:cs="Arial"/>
        </w:rPr>
        <w:t xml:space="preserve">section </w:t>
      </w:r>
      <w:r w:rsidR="008814FE">
        <w:rPr>
          <w:rFonts w:cs="Arial"/>
        </w:rPr>
        <w:t>602(c)</w:t>
      </w:r>
      <w:r w:rsidR="008F0D29">
        <w:rPr>
          <w:rFonts w:cs="Arial"/>
        </w:rPr>
        <w:t>.</w:t>
      </w:r>
      <w:r w:rsidR="0088356D">
        <w:rPr>
          <w:rFonts w:cs="Arial"/>
        </w:rPr>
        <w:t xml:space="preserve"> </w:t>
      </w:r>
      <w:r w:rsidR="001F2EE7">
        <w:rPr>
          <w:rFonts w:cs="Arial"/>
        </w:rPr>
        <w:t>Additionally, s</w:t>
      </w:r>
      <w:r w:rsidR="0088356D">
        <w:rPr>
          <w:rFonts w:cs="Arial"/>
        </w:rPr>
        <w:t xml:space="preserve">ome </w:t>
      </w:r>
      <w:r w:rsidR="001F2EE7">
        <w:rPr>
          <w:rFonts w:cs="Arial"/>
        </w:rPr>
        <w:t xml:space="preserve">pro-ENDS </w:t>
      </w:r>
      <w:r w:rsidR="0088356D">
        <w:rPr>
          <w:rFonts w:cs="Arial"/>
        </w:rPr>
        <w:t xml:space="preserve">commenters </w:t>
      </w:r>
      <w:r w:rsidR="00053D6C">
        <w:rPr>
          <w:rFonts w:cs="Arial"/>
        </w:rPr>
        <w:t>asserted</w:t>
      </w:r>
      <w:r w:rsidR="00141890">
        <w:rPr>
          <w:rFonts w:cs="Arial"/>
        </w:rPr>
        <w:t xml:space="preserve"> </w:t>
      </w:r>
      <w:r w:rsidR="00B06CDC">
        <w:rPr>
          <w:rFonts w:cs="Arial"/>
        </w:rPr>
        <w:t>that the FDA</w:t>
      </w:r>
      <w:r w:rsidR="004A51A8">
        <w:rPr>
          <w:rFonts w:cs="Arial"/>
        </w:rPr>
        <w:t xml:space="preserve"> excludes “accessories” </w:t>
      </w:r>
      <w:r w:rsidR="007A74A4">
        <w:rPr>
          <w:rFonts w:cs="Arial"/>
        </w:rPr>
        <w:t xml:space="preserve">from regulation as </w:t>
      </w:r>
      <w:r w:rsidR="007A74A4">
        <w:rPr>
          <w:rFonts w:cs="Arial"/>
        </w:rPr>
        <w:lastRenderedPageBreak/>
        <w:t xml:space="preserve">“tobacco products” </w:t>
      </w:r>
      <w:r w:rsidR="004A51A8">
        <w:rPr>
          <w:rFonts w:cs="Arial"/>
        </w:rPr>
        <w:t>and urge</w:t>
      </w:r>
      <w:r w:rsidR="00141890">
        <w:rPr>
          <w:rFonts w:cs="Arial"/>
        </w:rPr>
        <w:t>d</w:t>
      </w:r>
      <w:r w:rsidR="004A51A8">
        <w:rPr>
          <w:rFonts w:cs="Arial"/>
        </w:rPr>
        <w:t xml:space="preserve"> the Postal Service to follow suit.</w:t>
      </w:r>
      <w:r w:rsidR="00053D6C">
        <w:rPr>
          <w:rFonts w:cs="Arial"/>
        </w:rPr>
        <w:t xml:space="preserve"> See</w:t>
      </w:r>
      <w:r w:rsidR="009153F4">
        <w:rPr>
          <w:rFonts w:cs="Arial"/>
        </w:rPr>
        <w:t xml:space="preserve"> </w:t>
      </w:r>
      <w:r w:rsidR="00053D6C">
        <w:rPr>
          <w:rFonts w:cs="Arial"/>
        </w:rPr>
        <w:t>21 CFR 1100.1</w:t>
      </w:r>
      <w:r w:rsidR="009153F4">
        <w:rPr>
          <w:rFonts w:cs="Arial"/>
        </w:rPr>
        <w:t>–.2</w:t>
      </w:r>
      <w:r w:rsidR="00053D6C">
        <w:rPr>
          <w:rFonts w:cs="Arial"/>
        </w:rPr>
        <w:t>.</w:t>
      </w:r>
    </w:p>
    <w:p w14:paraId="77400474" w14:textId="2975BDE1" w:rsidR="008B6E9B" w:rsidRDefault="008B6E9B" w:rsidP="00E542D9">
      <w:pPr>
        <w:shd w:val="clear" w:color="auto" w:fill="FFFFFF"/>
        <w:ind w:firstLine="720"/>
        <w:rPr>
          <w:rFonts w:cs="Arial"/>
        </w:rPr>
      </w:pPr>
      <w:r>
        <w:rPr>
          <w:rFonts w:cs="Arial"/>
        </w:rPr>
        <w:t xml:space="preserve">As an initial matter, the </w:t>
      </w:r>
      <w:r w:rsidR="004D104E">
        <w:rPr>
          <w:rFonts w:cs="Arial"/>
        </w:rPr>
        <w:t xml:space="preserve">Federal </w:t>
      </w:r>
      <w:r w:rsidR="004D104E">
        <w:rPr>
          <w:rFonts w:cs="Arial"/>
          <w:bCs/>
        </w:rPr>
        <w:t>Food, Drug, and Cosmetic Act (“</w:t>
      </w:r>
      <w:r w:rsidR="00141890">
        <w:rPr>
          <w:rFonts w:cs="Arial"/>
          <w:bCs/>
        </w:rPr>
        <w:t>FD&amp;C Act</w:t>
      </w:r>
      <w:r w:rsidR="004D104E">
        <w:rPr>
          <w:rFonts w:cs="Arial"/>
          <w:bCs/>
        </w:rPr>
        <w:t>”)</w:t>
      </w:r>
      <w:r>
        <w:rPr>
          <w:rFonts w:cs="Arial"/>
        </w:rPr>
        <w:t xml:space="preserve"> and the PACT Act (as </w:t>
      </w:r>
      <w:r w:rsidR="00750A3B">
        <w:rPr>
          <w:rFonts w:cs="Arial"/>
        </w:rPr>
        <w:t xml:space="preserve">modified by the POSECCA) govern </w:t>
      </w:r>
      <w:r w:rsidR="000E39D3">
        <w:rPr>
          <w:rFonts w:cs="Arial"/>
        </w:rPr>
        <w:t xml:space="preserve">different subjects. </w:t>
      </w:r>
      <w:r w:rsidR="00141890">
        <w:rPr>
          <w:rFonts w:cs="Arial"/>
        </w:rPr>
        <w:t xml:space="preserve">Under the FD&amp;C Act, the FDA regulates the manufacturing, marketing, and distribution of tobacco products to protect the public health. FDA regulation of tobacco products is not </w:t>
      </w:r>
      <w:r w:rsidR="007A74A4">
        <w:rPr>
          <w:rFonts w:cs="Arial"/>
        </w:rPr>
        <w:t xml:space="preserve">necessarily </w:t>
      </w:r>
      <w:r w:rsidR="00141890">
        <w:rPr>
          <w:rFonts w:cs="Arial"/>
        </w:rPr>
        <w:t xml:space="preserve">tied to a given </w:t>
      </w:r>
      <w:r w:rsidR="00D40480">
        <w:rPr>
          <w:rFonts w:cs="Arial"/>
        </w:rPr>
        <w:t>distribution method</w:t>
      </w:r>
      <w:r w:rsidR="00EC2BFF">
        <w:rPr>
          <w:rFonts w:cs="Arial"/>
        </w:rPr>
        <w:t>. By contrast, t</w:t>
      </w:r>
      <w:r w:rsidR="000E39D3">
        <w:rPr>
          <w:rFonts w:cs="Arial"/>
        </w:rPr>
        <w:t xml:space="preserve">he </w:t>
      </w:r>
      <w:r w:rsidR="00881350">
        <w:rPr>
          <w:rFonts w:cs="Arial"/>
        </w:rPr>
        <w:t xml:space="preserve">relevant portion of the </w:t>
      </w:r>
      <w:r w:rsidR="000E39D3">
        <w:rPr>
          <w:rFonts w:cs="Arial"/>
        </w:rPr>
        <w:t xml:space="preserve">PACT Act governs whether </w:t>
      </w:r>
      <w:r w:rsidR="00AC642C">
        <w:rPr>
          <w:rFonts w:cs="Arial"/>
        </w:rPr>
        <w:t xml:space="preserve">such </w:t>
      </w:r>
      <w:r w:rsidR="009379DE">
        <w:rPr>
          <w:rFonts w:cs="Arial"/>
        </w:rPr>
        <w:t>products</w:t>
      </w:r>
      <w:r w:rsidR="00D40480">
        <w:rPr>
          <w:rFonts w:cs="Arial"/>
        </w:rPr>
        <w:t>—</w:t>
      </w:r>
      <w:r w:rsidR="00776263">
        <w:rPr>
          <w:rFonts w:cs="Arial"/>
        </w:rPr>
        <w:t xml:space="preserve">following or pending </w:t>
      </w:r>
      <w:r w:rsidR="00141890">
        <w:rPr>
          <w:rFonts w:cs="Arial"/>
        </w:rPr>
        <w:t xml:space="preserve">authorization </w:t>
      </w:r>
      <w:r w:rsidR="0003092A">
        <w:rPr>
          <w:rFonts w:cs="Arial"/>
        </w:rPr>
        <w:t>for interstate commerce</w:t>
      </w:r>
      <w:r w:rsidR="00D40480">
        <w:rPr>
          <w:rFonts w:cs="Arial"/>
        </w:rPr>
        <w:t>—</w:t>
      </w:r>
      <w:r w:rsidR="00B04176">
        <w:rPr>
          <w:rFonts w:cs="Arial"/>
        </w:rPr>
        <w:t xml:space="preserve">may be sent through the federally administered postal system, </w:t>
      </w:r>
      <w:r w:rsidR="0003092A">
        <w:rPr>
          <w:rFonts w:cs="Arial"/>
        </w:rPr>
        <w:t xml:space="preserve">or whether they </w:t>
      </w:r>
      <w:r w:rsidR="00776263">
        <w:rPr>
          <w:rFonts w:cs="Arial"/>
        </w:rPr>
        <w:t xml:space="preserve">may </w:t>
      </w:r>
      <w:r w:rsidR="0003092A">
        <w:rPr>
          <w:rFonts w:cs="Arial"/>
        </w:rPr>
        <w:t xml:space="preserve">be </w:t>
      </w:r>
      <w:r w:rsidR="001A1F55">
        <w:rPr>
          <w:rFonts w:cs="Arial"/>
        </w:rPr>
        <w:t xml:space="preserve">transported </w:t>
      </w:r>
      <w:r w:rsidR="00776263">
        <w:rPr>
          <w:rFonts w:cs="Arial"/>
        </w:rPr>
        <w:t xml:space="preserve">only </w:t>
      </w:r>
      <w:r w:rsidR="00C97D1D">
        <w:rPr>
          <w:rFonts w:cs="Arial"/>
        </w:rPr>
        <w:t xml:space="preserve">through </w:t>
      </w:r>
      <w:r w:rsidR="001A1F55">
        <w:rPr>
          <w:rFonts w:cs="Arial"/>
        </w:rPr>
        <w:t xml:space="preserve">non-postal </w:t>
      </w:r>
      <w:r w:rsidR="00C97D1D">
        <w:rPr>
          <w:rFonts w:cs="Arial"/>
        </w:rPr>
        <w:t xml:space="preserve">channels. </w:t>
      </w:r>
      <w:r w:rsidR="00E560B4">
        <w:rPr>
          <w:rFonts w:cs="Arial"/>
        </w:rPr>
        <w:t xml:space="preserve">Indeed, </w:t>
      </w:r>
      <w:r w:rsidR="00F976ED">
        <w:rPr>
          <w:rFonts w:cs="Arial"/>
        </w:rPr>
        <w:t xml:space="preserve">section 2 of the PACT Act provides that covered items may be carried through non-postal delivery channels, so long as </w:t>
      </w:r>
      <w:r w:rsidR="0092201C">
        <w:rPr>
          <w:rFonts w:cs="Arial"/>
        </w:rPr>
        <w:t>carriers and sellers comply with various requirements.</w:t>
      </w:r>
      <w:r w:rsidR="007520F7">
        <w:rPr>
          <w:rFonts w:cs="Arial"/>
        </w:rPr>
        <w:t xml:space="preserve"> </w:t>
      </w:r>
      <w:r w:rsidR="00EE37BB">
        <w:rPr>
          <w:rFonts w:cs="Arial"/>
        </w:rPr>
        <w:t xml:space="preserve">Although </w:t>
      </w:r>
      <w:r w:rsidR="000D38E0">
        <w:rPr>
          <w:rFonts w:cs="Arial"/>
        </w:rPr>
        <w:t xml:space="preserve">nonmailability may </w:t>
      </w:r>
      <w:r w:rsidR="006A566D">
        <w:rPr>
          <w:rFonts w:cs="Arial"/>
        </w:rPr>
        <w:t xml:space="preserve">influence </w:t>
      </w:r>
      <w:r w:rsidR="001A0996">
        <w:rPr>
          <w:rFonts w:cs="Arial"/>
        </w:rPr>
        <w:t xml:space="preserve">the practicalities </w:t>
      </w:r>
      <w:r w:rsidR="00F8152B">
        <w:rPr>
          <w:rFonts w:cs="Arial"/>
        </w:rPr>
        <w:t xml:space="preserve">of interstate commerce </w:t>
      </w:r>
      <w:r w:rsidR="00EE37BB">
        <w:rPr>
          <w:rFonts w:cs="Arial"/>
        </w:rPr>
        <w:t xml:space="preserve">(e.g., </w:t>
      </w:r>
      <w:r w:rsidR="00F8152B">
        <w:rPr>
          <w:rFonts w:cs="Arial"/>
        </w:rPr>
        <w:t xml:space="preserve">products’ </w:t>
      </w:r>
      <w:r w:rsidR="00EE37BB">
        <w:rPr>
          <w:rFonts w:cs="Arial"/>
        </w:rPr>
        <w:t>costs and accessibility)</w:t>
      </w:r>
      <w:r w:rsidR="00DA12A2">
        <w:rPr>
          <w:rFonts w:cs="Arial"/>
        </w:rPr>
        <w:t xml:space="preserve">, </w:t>
      </w:r>
      <w:r w:rsidR="00EE37BB">
        <w:rPr>
          <w:rFonts w:cs="Arial"/>
        </w:rPr>
        <w:t xml:space="preserve">it </w:t>
      </w:r>
      <w:r w:rsidR="00DA12A2">
        <w:rPr>
          <w:rFonts w:cs="Arial"/>
        </w:rPr>
        <w:t xml:space="preserve">does not </w:t>
      </w:r>
      <w:r w:rsidR="00822B48">
        <w:rPr>
          <w:rFonts w:cs="Arial"/>
        </w:rPr>
        <w:t>constitute a</w:t>
      </w:r>
      <w:r w:rsidR="00F8152B">
        <w:rPr>
          <w:rFonts w:cs="Arial"/>
        </w:rPr>
        <w:t>n outright</w:t>
      </w:r>
      <w:r w:rsidR="00822B48">
        <w:rPr>
          <w:rFonts w:cs="Arial"/>
        </w:rPr>
        <w:t xml:space="preserve"> legal bar to </w:t>
      </w:r>
      <w:r w:rsidR="00DA12A2">
        <w:rPr>
          <w:rFonts w:cs="Arial"/>
        </w:rPr>
        <w:t>interstate commerce</w:t>
      </w:r>
      <w:r w:rsidR="00D97643">
        <w:rPr>
          <w:rFonts w:cs="Arial"/>
        </w:rPr>
        <w:t>.</w:t>
      </w:r>
      <w:r w:rsidR="00876CBE">
        <w:rPr>
          <w:rStyle w:val="FootnoteReference"/>
          <w:rFonts w:cs="Arial"/>
        </w:rPr>
        <w:footnoteReference w:id="6"/>
      </w:r>
      <w:r w:rsidR="000B181F">
        <w:rPr>
          <w:rFonts w:cs="Arial"/>
        </w:rPr>
        <w:t xml:space="preserve"> </w:t>
      </w:r>
    </w:p>
    <w:p w14:paraId="04FE00E0" w14:textId="407D3931" w:rsidR="002A7441" w:rsidRPr="00CE0419" w:rsidRDefault="00E542D9" w:rsidP="00E542D9">
      <w:pPr>
        <w:shd w:val="clear" w:color="auto" w:fill="FFFFFF"/>
        <w:ind w:firstLine="720"/>
        <w:rPr>
          <w:rFonts w:cs="Arial"/>
        </w:rPr>
      </w:pPr>
      <w:r w:rsidRPr="00E542D9">
        <w:rPr>
          <w:rFonts w:cs="Arial"/>
        </w:rPr>
        <w:t>The FDA’s regulation of ENDS emanates from a statut</w:t>
      </w:r>
      <w:r w:rsidR="000B181F">
        <w:rPr>
          <w:rFonts w:cs="Arial"/>
        </w:rPr>
        <w:t>ory framework</w:t>
      </w:r>
      <w:r w:rsidRPr="00E542D9">
        <w:rPr>
          <w:rFonts w:cs="Arial"/>
        </w:rPr>
        <w:t xml:space="preserve"> regarding tobacco products</w:t>
      </w:r>
      <w:r w:rsidR="001E1E54">
        <w:rPr>
          <w:rFonts w:cs="Arial"/>
        </w:rPr>
        <w:t xml:space="preserve"> that is unrelated to and distinct from the POSECCA</w:t>
      </w:r>
      <w:r w:rsidRPr="00E542D9">
        <w:rPr>
          <w:rFonts w:cs="Arial"/>
        </w:rPr>
        <w:t xml:space="preserve">. More specifically, the </w:t>
      </w:r>
      <w:r w:rsidR="004D104E">
        <w:t>Family Smoking Prevention and Tobacco Control Act (“Tobacco Control Act”),</w:t>
      </w:r>
      <w:r w:rsidRPr="00E542D9">
        <w:rPr>
          <w:rFonts w:cs="Arial"/>
        </w:rPr>
        <w:t xml:space="preserve"> </w:t>
      </w:r>
      <w:r w:rsidR="00D56BF9">
        <w:rPr>
          <w:rFonts w:cs="Arial"/>
        </w:rPr>
        <w:t>Pub. L.</w:t>
      </w:r>
      <w:r w:rsidRPr="00E542D9">
        <w:rPr>
          <w:rFonts w:cs="Arial"/>
        </w:rPr>
        <w:t xml:space="preserve"> 111</w:t>
      </w:r>
      <w:r w:rsidR="00F04997">
        <w:rPr>
          <w:rFonts w:cs="Arial"/>
        </w:rPr>
        <w:t>–</w:t>
      </w:r>
      <w:r w:rsidRPr="00E542D9">
        <w:rPr>
          <w:rFonts w:cs="Arial"/>
        </w:rPr>
        <w:t>31</w:t>
      </w:r>
      <w:r w:rsidR="004D104E">
        <w:rPr>
          <w:rFonts w:cs="Arial"/>
        </w:rPr>
        <w:t>,</w:t>
      </w:r>
      <w:r w:rsidRPr="00E542D9">
        <w:rPr>
          <w:rFonts w:cs="Arial"/>
        </w:rPr>
        <w:t xml:space="preserve"> granted the FDA the authority to regulate tobacco products by, among other things, adding Chapter IX (Tobacco </w:t>
      </w:r>
      <w:r w:rsidRPr="00E542D9">
        <w:rPr>
          <w:rFonts w:cs="Arial"/>
        </w:rPr>
        <w:lastRenderedPageBreak/>
        <w:t xml:space="preserve">Products) to the </w:t>
      </w:r>
      <w:r w:rsidR="00141890">
        <w:rPr>
          <w:rFonts w:cs="Arial"/>
        </w:rPr>
        <w:t>FD&amp;C Act</w:t>
      </w:r>
      <w:r w:rsidRPr="00E542D9">
        <w:rPr>
          <w:rFonts w:cs="Arial"/>
        </w:rPr>
        <w:t xml:space="preserve">, 21 U.S.C. 387a. Section 901 of the </w:t>
      </w:r>
      <w:r w:rsidR="00141890">
        <w:rPr>
          <w:rFonts w:cs="Arial"/>
        </w:rPr>
        <w:t>FD&amp;C Act</w:t>
      </w:r>
      <w:r w:rsidRPr="00E542D9">
        <w:rPr>
          <w:rFonts w:cs="Arial"/>
        </w:rPr>
        <w:t xml:space="preserve"> provides that this chapter applies to cigarettes, cigarette tobacco, roll-your-own tobacco, and smokeless tobacco, as well as to any other tobacco products that the Secretary of Health and Human Services by regulation deems subject to it. </w:t>
      </w:r>
      <w:r w:rsidR="002A7441">
        <w:rPr>
          <w:rFonts w:cs="Arial"/>
        </w:rPr>
        <w:t xml:space="preserve">It is pursuant to that </w:t>
      </w:r>
      <w:r w:rsidR="007258AE">
        <w:rPr>
          <w:rFonts w:cs="Arial"/>
        </w:rPr>
        <w:t xml:space="preserve">delegation of </w:t>
      </w:r>
      <w:r w:rsidR="002A7441">
        <w:rPr>
          <w:rFonts w:cs="Arial"/>
        </w:rPr>
        <w:t xml:space="preserve">“deeming” </w:t>
      </w:r>
      <w:r w:rsidR="007258AE">
        <w:rPr>
          <w:rFonts w:cs="Arial"/>
        </w:rPr>
        <w:t xml:space="preserve">authority that the FDA </w:t>
      </w:r>
      <w:r w:rsidR="000E38FD">
        <w:rPr>
          <w:rFonts w:cs="Arial"/>
        </w:rPr>
        <w:t>decided to subject certain ENDS products</w:t>
      </w:r>
      <w:r w:rsidR="00053D6C">
        <w:rPr>
          <w:rFonts w:cs="Arial"/>
        </w:rPr>
        <w:t>—specifically, those that meet the FD&amp;C Act definition of a “tobacco product”—</w:t>
      </w:r>
      <w:r w:rsidR="000E38FD">
        <w:rPr>
          <w:rFonts w:cs="Arial"/>
        </w:rPr>
        <w:t xml:space="preserve">to tobacco regulation under the </w:t>
      </w:r>
      <w:r w:rsidR="00141890">
        <w:rPr>
          <w:rFonts w:cs="Arial"/>
        </w:rPr>
        <w:t>FD&amp;C Act</w:t>
      </w:r>
      <w:r w:rsidR="000E38FD">
        <w:rPr>
          <w:rFonts w:cs="Arial"/>
        </w:rPr>
        <w:t xml:space="preserve">. </w:t>
      </w:r>
      <w:r w:rsidR="00EC3807">
        <w:rPr>
          <w:rFonts w:cs="Arial"/>
        </w:rPr>
        <w:t>81</w:t>
      </w:r>
      <w:r w:rsidR="006E15E1">
        <w:rPr>
          <w:rFonts w:cs="Arial"/>
        </w:rPr>
        <w:t> </w:t>
      </w:r>
      <w:r w:rsidR="007A54C0">
        <w:rPr>
          <w:rFonts w:cs="Arial"/>
        </w:rPr>
        <w:t>FR</w:t>
      </w:r>
      <w:r w:rsidR="00EC3807">
        <w:rPr>
          <w:rFonts w:cs="Arial"/>
        </w:rPr>
        <w:t xml:space="preserve"> </w:t>
      </w:r>
      <w:r w:rsidR="004D104E">
        <w:rPr>
          <w:rFonts w:cs="Arial"/>
        </w:rPr>
        <w:t>28973</w:t>
      </w:r>
      <w:r w:rsidR="00141890">
        <w:rPr>
          <w:rFonts w:cs="Arial"/>
        </w:rPr>
        <w:t>,</w:t>
      </w:r>
      <w:r w:rsidR="00EC3807">
        <w:rPr>
          <w:rFonts w:cs="Arial"/>
        </w:rPr>
        <w:t xml:space="preserve"> 28982</w:t>
      </w:r>
      <w:r w:rsidR="00141890">
        <w:rPr>
          <w:rFonts w:cs="Arial"/>
        </w:rPr>
        <w:t xml:space="preserve"> (2016)</w:t>
      </w:r>
      <w:r w:rsidR="00EC3807">
        <w:rPr>
          <w:rFonts w:cs="Arial"/>
        </w:rPr>
        <w:t>.</w:t>
      </w:r>
      <w:r w:rsidR="00230891">
        <w:rPr>
          <w:rFonts w:cs="Arial"/>
        </w:rPr>
        <w:t xml:space="preserve"> </w:t>
      </w:r>
      <w:r w:rsidR="00BF5D6E">
        <w:rPr>
          <w:rFonts w:cs="Arial"/>
        </w:rPr>
        <w:t xml:space="preserve">The FDA’s </w:t>
      </w:r>
      <w:r w:rsidR="00C6327E">
        <w:rPr>
          <w:rFonts w:cs="Arial"/>
        </w:rPr>
        <w:t xml:space="preserve">broad </w:t>
      </w:r>
      <w:r w:rsidR="00BF5D6E">
        <w:rPr>
          <w:rFonts w:cs="Arial"/>
        </w:rPr>
        <w:t xml:space="preserve">discretion </w:t>
      </w:r>
      <w:r w:rsidR="00C6327E">
        <w:rPr>
          <w:rFonts w:cs="Arial"/>
        </w:rPr>
        <w:t xml:space="preserve">under the </w:t>
      </w:r>
      <w:r w:rsidR="00141890">
        <w:rPr>
          <w:rFonts w:cs="Arial"/>
        </w:rPr>
        <w:t>FD&amp;C Act</w:t>
      </w:r>
      <w:r w:rsidR="00C6327E">
        <w:rPr>
          <w:rFonts w:cs="Arial"/>
        </w:rPr>
        <w:t xml:space="preserve"> </w:t>
      </w:r>
      <w:r w:rsidR="00BF5D6E">
        <w:rPr>
          <w:rFonts w:cs="Arial"/>
        </w:rPr>
        <w:t xml:space="preserve">encompasses the </w:t>
      </w:r>
      <w:r w:rsidR="00C6327E">
        <w:rPr>
          <w:rFonts w:cs="Arial"/>
        </w:rPr>
        <w:t xml:space="preserve">ability to define the scope of ENDS products that the FDA </w:t>
      </w:r>
      <w:r w:rsidR="00DB2FB4">
        <w:rPr>
          <w:rFonts w:cs="Arial"/>
        </w:rPr>
        <w:t>considers amenable to regulation</w:t>
      </w:r>
      <w:r w:rsidR="00A95302">
        <w:rPr>
          <w:rFonts w:cs="Arial"/>
        </w:rPr>
        <w:t xml:space="preserve">, subject to the </w:t>
      </w:r>
      <w:r w:rsidR="00053D6C">
        <w:rPr>
          <w:rFonts w:cs="Arial"/>
        </w:rPr>
        <w:t xml:space="preserve">FD&amp;C Act’s parameters. For example, FDA-regulated tobacco products (including ENDS products) </w:t>
      </w:r>
      <w:r w:rsidR="00A95302">
        <w:rPr>
          <w:rFonts w:cs="Arial"/>
        </w:rPr>
        <w:t xml:space="preserve">must be </w:t>
      </w:r>
      <w:r w:rsidR="00613F6B">
        <w:rPr>
          <w:rFonts w:cs="Arial"/>
        </w:rPr>
        <w:t xml:space="preserve">either </w:t>
      </w:r>
      <w:r w:rsidR="00C82154">
        <w:rPr>
          <w:rFonts w:cs="Arial"/>
        </w:rPr>
        <w:t>made or derived from tobacco</w:t>
      </w:r>
      <w:r w:rsidR="00613F6B">
        <w:rPr>
          <w:rFonts w:cs="Arial"/>
        </w:rPr>
        <w:t xml:space="preserve"> and intended for human consumption</w:t>
      </w:r>
      <w:r w:rsidR="00B46E29">
        <w:rPr>
          <w:rFonts w:cs="Arial"/>
        </w:rPr>
        <w:t>, or else a part, component, or accessory of such a product</w:t>
      </w:r>
      <w:r w:rsidR="00613F6B">
        <w:rPr>
          <w:rFonts w:cs="Arial"/>
        </w:rPr>
        <w:t>.</w:t>
      </w:r>
      <w:r w:rsidR="00B46E29">
        <w:rPr>
          <w:rFonts w:cs="Arial"/>
        </w:rPr>
        <w:t xml:space="preserve"> 21 U.S.C. </w:t>
      </w:r>
      <w:r w:rsidR="00012E4F">
        <w:rPr>
          <w:rFonts w:cs="Arial"/>
        </w:rPr>
        <w:t>321(</w:t>
      </w:r>
      <w:proofErr w:type="spellStart"/>
      <w:r w:rsidR="00012E4F">
        <w:rPr>
          <w:rFonts w:cs="Arial"/>
        </w:rPr>
        <w:t>rr</w:t>
      </w:r>
      <w:proofErr w:type="spellEnd"/>
      <w:proofErr w:type="gramStart"/>
      <w:r w:rsidR="00012E4F">
        <w:rPr>
          <w:rFonts w:cs="Arial"/>
        </w:rPr>
        <w:t>)(</w:t>
      </w:r>
      <w:proofErr w:type="gramEnd"/>
      <w:r w:rsidR="00012E4F">
        <w:rPr>
          <w:rFonts w:cs="Arial"/>
        </w:rPr>
        <w:t>1)</w:t>
      </w:r>
      <w:r w:rsidR="00F947D5">
        <w:rPr>
          <w:rFonts w:cs="Arial"/>
        </w:rPr>
        <w:t>, 387a(c)(1)</w:t>
      </w:r>
      <w:r w:rsidR="00012E4F">
        <w:rPr>
          <w:rFonts w:cs="Arial"/>
        </w:rPr>
        <w:t>.</w:t>
      </w:r>
      <w:r w:rsidR="00FD360F">
        <w:rPr>
          <w:rFonts w:cs="Arial"/>
        </w:rPr>
        <w:t xml:space="preserve"> </w:t>
      </w:r>
      <w:r w:rsidR="00053D6C">
        <w:rPr>
          <w:rFonts w:cs="Arial"/>
        </w:rPr>
        <w:t>Pursuant to its discretion</w:t>
      </w:r>
      <w:r w:rsidR="00CE0419">
        <w:rPr>
          <w:rFonts w:cs="Arial"/>
        </w:rPr>
        <w:t>, the FDA decided to regulate “</w:t>
      </w:r>
      <w:r w:rsidR="00053D6C">
        <w:rPr>
          <w:rFonts w:cs="Arial"/>
        </w:rPr>
        <w:t xml:space="preserve">components or </w:t>
      </w:r>
      <w:r w:rsidR="00CE0419">
        <w:rPr>
          <w:rFonts w:cs="Arial"/>
        </w:rPr>
        <w:t>parts” of ENDS products but not “accessories</w:t>
      </w:r>
      <w:r w:rsidR="00053D6C">
        <w:rPr>
          <w:rFonts w:cs="Arial"/>
        </w:rPr>
        <w:t>.</w:t>
      </w:r>
      <w:r w:rsidR="00CE0419">
        <w:rPr>
          <w:rFonts w:cs="Arial"/>
        </w:rPr>
        <w:t xml:space="preserve">” </w:t>
      </w:r>
      <w:r w:rsidR="00CE0419">
        <w:rPr>
          <w:rFonts w:cs="Arial"/>
          <w:i/>
          <w:iCs/>
        </w:rPr>
        <w:t>Id.</w:t>
      </w:r>
      <w:r w:rsidR="00CE0419">
        <w:rPr>
          <w:rFonts w:cs="Arial"/>
        </w:rPr>
        <w:t xml:space="preserve"> at </w:t>
      </w:r>
      <w:r w:rsidR="0071104C">
        <w:rPr>
          <w:rFonts w:cs="Arial"/>
        </w:rPr>
        <w:t>28,975.</w:t>
      </w:r>
    </w:p>
    <w:p w14:paraId="2605E6D1" w14:textId="1C56EB58" w:rsidR="00824C44" w:rsidRDefault="008814E9" w:rsidP="00E542D9">
      <w:pPr>
        <w:shd w:val="clear" w:color="auto" w:fill="FFFFFF"/>
        <w:ind w:firstLine="720"/>
        <w:rPr>
          <w:rFonts w:cs="Arial"/>
        </w:rPr>
      </w:pPr>
      <w:r>
        <w:rPr>
          <w:rFonts w:cs="Arial"/>
        </w:rPr>
        <w:t xml:space="preserve">The context here is different, because </w:t>
      </w:r>
      <w:r w:rsidR="00E542D9" w:rsidRPr="00E542D9">
        <w:rPr>
          <w:rFonts w:cs="Arial"/>
        </w:rPr>
        <w:t xml:space="preserve">the </w:t>
      </w:r>
      <w:r w:rsidR="0087209B">
        <w:rPr>
          <w:rFonts w:cs="Arial"/>
        </w:rPr>
        <w:t xml:space="preserve">statute </w:t>
      </w:r>
      <w:r w:rsidR="00BD5548">
        <w:rPr>
          <w:rFonts w:cs="Arial"/>
        </w:rPr>
        <w:t xml:space="preserve">itself </w:t>
      </w:r>
      <w:r w:rsidR="00B91332">
        <w:rPr>
          <w:rFonts w:cs="Arial"/>
        </w:rPr>
        <w:t xml:space="preserve">explicitly </w:t>
      </w:r>
      <w:r w:rsidR="00E542D9" w:rsidRPr="00E542D9">
        <w:rPr>
          <w:rFonts w:cs="Arial"/>
        </w:rPr>
        <w:t xml:space="preserve">defines </w:t>
      </w:r>
      <w:r w:rsidR="00B91332">
        <w:rPr>
          <w:rFonts w:cs="Arial"/>
        </w:rPr>
        <w:t xml:space="preserve">the scope of </w:t>
      </w:r>
      <w:r>
        <w:rPr>
          <w:rFonts w:cs="Arial"/>
        </w:rPr>
        <w:t xml:space="preserve">nonmailable </w:t>
      </w:r>
      <w:r w:rsidR="00E542D9" w:rsidRPr="00E542D9">
        <w:rPr>
          <w:rFonts w:cs="Arial"/>
        </w:rPr>
        <w:t>ENDS</w:t>
      </w:r>
      <w:r w:rsidR="00477B67">
        <w:rPr>
          <w:rFonts w:cs="Arial"/>
        </w:rPr>
        <w:t xml:space="preserve"> in a manner that departs from the </w:t>
      </w:r>
      <w:r w:rsidR="00141890">
        <w:rPr>
          <w:rFonts w:cs="Arial"/>
        </w:rPr>
        <w:t>FD&amp;C Act</w:t>
      </w:r>
      <w:r w:rsidR="00BE493D">
        <w:rPr>
          <w:rFonts w:cs="Arial"/>
        </w:rPr>
        <w:t xml:space="preserve"> and FDA</w:t>
      </w:r>
      <w:r w:rsidR="00212042">
        <w:rPr>
          <w:rFonts w:cs="Arial"/>
        </w:rPr>
        <w:t xml:space="preserve"> </w:t>
      </w:r>
      <w:r w:rsidR="00477B67">
        <w:rPr>
          <w:rFonts w:cs="Arial"/>
        </w:rPr>
        <w:t>definition</w:t>
      </w:r>
      <w:r w:rsidR="00BE493D">
        <w:rPr>
          <w:rFonts w:cs="Arial"/>
        </w:rPr>
        <w:t>s</w:t>
      </w:r>
      <w:r w:rsidR="00212042">
        <w:rPr>
          <w:rFonts w:cs="Arial"/>
        </w:rPr>
        <w:t>.</w:t>
      </w:r>
      <w:r w:rsidR="00C7079B">
        <w:rPr>
          <w:rFonts w:cs="Arial"/>
        </w:rPr>
        <w:t xml:space="preserve"> </w:t>
      </w:r>
      <w:r w:rsidR="00795F2A">
        <w:rPr>
          <w:rFonts w:cs="Arial"/>
        </w:rPr>
        <w:t xml:space="preserve">Specifically, the POSECCA makes nonmailable </w:t>
      </w:r>
      <w:r w:rsidR="00E542D9" w:rsidRPr="00E542D9">
        <w:rPr>
          <w:rFonts w:cs="Arial"/>
        </w:rPr>
        <w:t>“any electronic device that, through an aerosolized solution, delivers nicotine, flavor, or any other substance to the user inhaling from the device</w:t>
      </w:r>
      <w:r w:rsidR="0065136E">
        <w:rPr>
          <w:rFonts w:cs="Arial"/>
        </w:rPr>
        <w:t>.</w:t>
      </w:r>
      <w:r w:rsidR="00E542D9" w:rsidRPr="00E542D9">
        <w:rPr>
          <w:rFonts w:cs="Arial"/>
        </w:rPr>
        <w:t>”</w:t>
      </w:r>
      <w:r w:rsidR="00824C44">
        <w:rPr>
          <w:rFonts w:cs="Arial"/>
        </w:rPr>
        <w:t xml:space="preserve"> </w:t>
      </w:r>
      <w:r w:rsidR="00053D6C">
        <w:rPr>
          <w:rFonts w:cs="Arial"/>
        </w:rPr>
        <w:t>T</w:t>
      </w:r>
      <w:r w:rsidR="00360231">
        <w:rPr>
          <w:rFonts w:cs="Arial"/>
        </w:rPr>
        <w:t xml:space="preserve">he POSECCA </w:t>
      </w:r>
      <w:r w:rsidR="00D56AD3">
        <w:rPr>
          <w:rFonts w:cs="Arial"/>
        </w:rPr>
        <w:t xml:space="preserve">refers to “nicotine” without </w:t>
      </w:r>
      <w:r w:rsidR="000D2A47">
        <w:rPr>
          <w:rFonts w:cs="Arial"/>
        </w:rPr>
        <w:t xml:space="preserve">distinguishing </w:t>
      </w:r>
      <w:proofErr w:type="gramStart"/>
      <w:r w:rsidR="00B97B70">
        <w:rPr>
          <w:rFonts w:cs="Arial"/>
        </w:rPr>
        <w:t>on the basis of</w:t>
      </w:r>
      <w:proofErr w:type="gramEnd"/>
      <w:r w:rsidR="00B97B70">
        <w:rPr>
          <w:rFonts w:cs="Arial"/>
        </w:rPr>
        <w:t xml:space="preserve"> origin (</w:t>
      </w:r>
      <w:r w:rsidR="00CA1010">
        <w:rPr>
          <w:rFonts w:cs="Arial"/>
        </w:rPr>
        <w:t>tobacco or otherwise</w:t>
      </w:r>
      <w:r w:rsidR="00B97B70">
        <w:rPr>
          <w:rFonts w:cs="Arial"/>
        </w:rPr>
        <w:t>)</w:t>
      </w:r>
      <w:r w:rsidR="00AB7DB3">
        <w:rPr>
          <w:rFonts w:cs="Arial"/>
        </w:rPr>
        <w:t xml:space="preserve">. </w:t>
      </w:r>
      <w:r w:rsidR="00844D53">
        <w:rPr>
          <w:rFonts w:cs="Arial"/>
        </w:rPr>
        <w:t>Furthermore, t</w:t>
      </w:r>
      <w:r w:rsidR="00AE0FB0">
        <w:rPr>
          <w:rFonts w:cs="Arial"/>
        </w:rPr>
        <w:t xml:space="preserve">he POSECCA </w:t>
      </w:r>
      <w:r w:rsidR="00844D53">
        <w:rPr>
          <w:rFonts w:cs="Arial"/>
        </w:rPr>
        <w:t>definition of ENDS sweeps beyond nicotine to include</w:t>
      </w:r>
      <w:r w:rsidR="00A6552D">
        <w:rPr>
          <w:rFonts w:cs="Arial"/>
        </w:rPr>
        <w:t>, as standalone</w:t>
      </w:r>
      <w:r w:rsidR="003E17BA">
        <w:rPr>
          <w:rFonts w:cs="Arial"/>
        </w:rPr>
        <w:t xml:space="preserve"> triggers,</w:t>
      </w:r>
      <w:r w:rsidR="00844D53">
        <w:rPr>
          <w:rFonts w:cs="Arial"/>
        </w:rPr>
        <w:t xml:space="preserve"> “</w:t>
      </w:r>
      <w:proofErr w:type="gramStart"/>
      <w:r w:rsidR="00844D53">
        <w:rPr>
          <w:rFonts w:cs="Arial"/>
        </w:rPr>
        <w:t>flavor</w:t>
      </w:r>
      <w:r w:rsidR="00A06BDD">
        <w:rPr>
          <w:rFonts w:cs="Arial"/>
        </w:rPr>
        <w:t>[</w:t>
      </w:r>
      <w:proofErr w:type="gramEnd"/>
      <w:r w:rsidR="00A06BDD">
        <w:rPr>
          <w:rFonts w:cs="Arial"/>
        </w:rPr>
        <w:t> ] or any other substance.”</w:t>
      </w:r>
      <w:r w:rsidR="00BA7013">
        <w:rPr>
          <w:rFonts w:cs="Arial"/>
        </w:rPr>
        <w:t xml:space="preserve"> Clearly, </w:t>
      </w:r>
      <w:r w:rsidR="00BA7013">
        <w:rPr>
          <w:rFonts w:cs="Arial"/>
        </w:rPr>
        <w:lastRenderedPageBreak/>
        <w:t xml:space="preserve">Congress could have phrased the POSECCA to tie to or mirror the </w:t>
      </w:r>
      <w:r w:rsidR="00141890">
        <w:rPr>
          <w:rFonts w:cs="Arial"/>
        </w:rPr>
        <w:t>FD&amp;C Act</w:t>
      </w:r>
      <w:r w:rsidR="00BA7013">
        <w:rPr>
          <w:rFonts w:cs="Arial"/>
        </w:rPr>
        <w:t xml:space="preserve"> </w:t>
      </w:r>
      <w:r w:rsidR="00780FD5">
        <w:rPr>
          <w:rFonts w:cs="Arial"/>
        </w:rPr>
        <w:t>terminology</w:t>
      </w:r>
      <w:r w:rsidR="00BE5767">
        <w:rPr>
          <w:rFonts w:cs="Arial"/>
        </w:rPr>
        <w:t xml:space="preserve">, or it could have used </w:t>
      </w:r>
      <w:r w:rsidR="006E251F">
        <w:rPr>
          <w:rFonts w:cs="Arial"/>
        </w:rPr>
        <w:t>other terminology that aligned with the scope of FDA regulation</w:t>
      </w:r>
      <w:r w:rsidR="000F0BCB">
        <w:rPr>
          <w:rFonts w:cs="Arial"/>
        </w:rPr>
        <w:t xml:space="preserve">. Yet </w:t>
      </w:r>
      <w:r w:rsidR="00155E38">
        <w:rPr>
          <w:rFonts w:cs="Arial"/>
        </w:rPr>
        <w:t>Congress</w:t>
      </w:r>
      <w:r w:rsidR="000F0BCB">
        <w:rPr>
          <w:rFonts w:cs="Arial"/>
        </w:rPr>
        <w:t xml:space="preserve"> did not do so; instead, it chose to specify </w:t>
      </w:r>
      <w:r w:rsidR="00706E7C">
        <w:rPr>
          <w:rFonts w:cs="Arial"/>
        </w:rPr>
        <w:t>a broader universe of nonmailable items than those that are subject to FDA regulation.</w:t>
      </w:r>
    </w:p>
    <w:p w14:paraId="15065B5D" w14:textId="2BBB2757" w:rsidR="00D028D0" w:rsidRPr="005A1B37" w:rsidRDefault="00E542D9" w:rsidP="00E542D9">
      <w:pPr>
        <w:shd w:val="clear" w:color="auto" w:fill="FFFFFF"/>
        <w:ind w:firstLine="720"/>
        <w:rPr>
          <w:rFonts w:cs="Arial"/>
        </w:rPr>
      </w:pPr>
      <w:r w:rsidRPr="00E542D9">
        <w:rPr>
          <w:rFonts w:cs="Arial"/>
        </w:rPr>
        <w:t xml:space="preserve">It is apparent that the </w:t>
      </w:r>
      <w:r w:rsidR="0027568F">
        <w:rPr>
          <w:rFonts w:cs="Arial"/>
        </w:rPr>
        <w:t xml:space="preserve">POSECCA </w:t>
      </w:r>
      <w:r w:rsidRPr="00E542D9">
        <w:rPr>
          <w:rFonts w:cs="Arial"/>
        </w:rPr>
        <w:t xml:space="preserve">neither alters nor conflicts with the </w:t>
      </w:r>
      <w:r w:rsidR="00141890">
        <w:rPr>
          <w:rFonts w:cs="Arial"/>
        </w:rPr>
        <w:t>FD&amp;C Act</w:t>
      </w:r>
      <w:r w:rsidRPr="00E542D9">
        <w:rPr>
          <w:rFonts w:cs="Arial"/>
        </w:rPr>
        <w:t>, and that it impinges in no way on the FDA’s implementing regulations</w:t>
      </w:r>
      <w:r w:rsidR="00D028D0">
        <w:rPr>
          <w:rFonts w:cs="Arial"/>
        </w:rPr>
        <w:t>. R</w:t>
      </w:r>
      <w:r w:rsidRPr="00E542D9">
        <w:rPr>
          <w:rFonts w:cs="Arial"/>
        </w:rPr>
        <w:t xml:space="preserve">ather, the two laws apply concurrently, </w:t>
      </w:r>
      <w:r w:rsidR="003556DE">
        <w:rPr>
          <w:rFonts w:cs="Arial"/>
        </w:rPr>
        <w:t xml:space="preserve">albeit with </w:t>
      </w:r>
      <w:r w:rsidR="00A80529">
        <w:rPr>
          <w:rFonts w:cs="Arial"/>
        </w:rPr>
        <w:t xml:space="preserve">only </w:t>
      </w:r>
      <w:r w:rsidR="00166427">
        <w:rPr>
          <w:rFonts w:cs="Arial"/>
        </w:rPr>
        <w:t xml:space="preserve">a </w:t>
      </w:r>
      <w:r w:rsidR="00A80529">
        <w:rPr>
          <w:rFonts w:cs="Arial"/>
        </w:rPr>
        <w:t xml:space="preserve">partial </w:t>
      </w:r>
      <w:r w:rsidR="003556DE">
        <w:rPr>
          <w:rFonts w:cs="Arial"/>
        </w:rPr>
        <w:t>overlap</w:t>
      </w:r>
      <w:r w:rsidR="00166427">
        <w:rPr>
          <w:rFonts w:cs="Arial"/>
        </w:rPr>
        <w:t xml:space="preserve"> in</w:t>
      </w:r>
      <w:r w:rsidR="003556DE">
        <w:rPr>
          <w:rFonts w:cs="Arial"/>
        </w:rPr>
        <w:t xml:space="preserve"> scope. </w:t>
      </w:r>
      <w:r w:rsidR="003147CB">
        <w:rPr>
          <w:rFonts w:cs="Arial"/>
        </w:rPr>
        <w:t>This is nothing new</w:t>
      </w:r>
      <w:r w:rsidR="007162C8">
        <w:rPr>
          <w:rFonts w:cs="Arial"/>
        </w:rPr>
        <w:t xml:space="preserve">. For example, </w:t>
      </w:r>
      <w:r w:rsidR="00C46B51">
        <w:rPr>
          <w:rFonts w:cs="Arial"/>
        </w:rPr>
        <w:t xml:space="preserve">the universe of products subject to FDA regulation as “tobacco products” is itself broader than </w:t>
      </w:r>
      <w:r w:rsidR="00764C90">
        <w:rPr>
          <w:rFonts w:cs="Arial"/>
        </w:rPr>
        <w:t xml:space="preserve">the scope of </w:t>
      </w:r>
      <w:r w:rsidR="00C63045">
        <w:rPr>
          <w:rFonts w:cs="Arial"/>
        </w:rPr>
        <w:t xml:space="preserve">“tobacco </w:t>
      </w:r>
      <w:r w:rsidR="00BC1686">
        <w:rPr>
          <w:rFonts w:cs="Arial"/>
        </w:rPr>
        <w:t>products</w:t>
      </w:r>
      <w:r w:rsidR="00C63045">
        <w:rPr>
          <w:rFonts w:cs="Arial"/>
        </w:rPr>
        <w:t>”</w:t>
      </w:r>
      <w:r w:rsidR="00BC1686">
        <w:rPr>
          <w:rFonts w:cs="Arial"/>
        </w:rPr>
        <w:t xml:space="preserve"> subject to </w:t>
      </w:r>
      <w:r w:rsidR="00D35F33">
        <w:rPr>
          <w:rFonts w:cs="Arial"/>
        </w:rPr>
        <w:t>Treasury Department regulation</w:t>
      </w:r>
      <w:r w:rsidR="00A24E76">
        <w:rPr>
          <w:rFonts w:cs="Arial"/>
        </w:rPr>
        <w:t xml:space="preserve"> under </w:t>
      </w:r>
      <w:r w:rsidR="002A0BA9">
        <w:rPr>
          <w:rFonts w:cs="Arial"/>
        </w:rPr>
        <w:t>IR</w:t>
      </w:r>
      <w:r w:rsidR="00A24E76">
        <w:rPr>
          <w:rFonts w:cs="Arial"/>
        </w:rPr>
        <w:t>C</w:t>
      </w:r>
      <w:r w:rsidR="002A0BA9">
        <w:rPr>
          <w:rFonts w:cs="Arial"/>
        </w:rPr>
        <w:t xml:space="preserve"> c</w:t>
      </w:r>
      <w:r w:rsidR="00A24E76">
        <w:rPr>
          <w:rFonts w:cs="Arial"/>
        </w:rPr>
        <w:t xml:space="preserve">hapter </w:t>
      </w:r>
      <w:r w:rsidR="006201BC">
        <w:rPr>
          <w:rFonts w:cs="Arial"/>
        </w:rPr>
        <w:t>52</w:t>
      </w:r>
      <w:r w:rsidR="00310FFD">
        <w:rPr>
          <w:rFonts w:cs="Arial"/>
        </w:rPr>
        <w:t>, which expressly does not include ENDS products</w:t>
      </w:r>
      <w:r w:rsidR="000B2C7B">
        <w:rPr>
          <w:rFonts w:cs="Arial"/>
        </w:rPr>
        <w:t xml:space="preserve">. </w:t>
      </w:r>
      <w:r w:rsidR="005A1B37" w:rsidRPr="00AF27CF">
        <w:rPr>
          <w:rFonts w:cs="Arial"/>
        </w:rPr>
        <w:t>See</w:t>
      </w:r>
      <w:r w:rsidR="005A1B37">
        <w:rPr>
          <w:rFonts w:cs="Arial"/>
        </w:rPr>
        <w:t xml:space="preserve"> 26</w:t>
      </w:r>
      <w:r w:rsidR="006201BC">
        <w:rPr>
          <w:rFonts w:cs="Arial"/>
        </w:rPr>
        <w:t xml:space="preserve"> U.S.C. </w:t>
      </w:r>
      <w:r w:rsidR="00F429CC">
        <w:rPr>
          <w:rFonts w:cs="Arial"/>
        </w:rPr>
        <w:t>570</w:t>
      </w:r>
      <w:r w:rsidR="00B10E72">
        <w:rPr>
          <w:rFonts w:cs="Arial"/>
        </w:rPr>
        <w:t>2</w:t>
      </w:r>
      <w:r w:rsidR="00F429CC">
        <w:rPr>
          <w:rFonts w:cs="Arial"/>
        </w:rPr>
        <w:t>.</w:t>
      </w:r>
      <w:r w:rsidR="0091165A">
        <w:rPr>
          <w:rFonts w:cs="Arial"/>
        </w:rPr>
        <w:t xml:space="preserve"> </w:t>
      </w:r>
      <w:r w:rsidR="00663702">
        <w:rPr>
          <w:rFonts w:cs="Arial"/>
        </w:rPr>
        <w:t>Among other laws, m</w:t>
      </w:r>
      <w:r w:rsidR="0091165A">
        <w:rPr>
          <w:rFonts w:cs="Arial"/>
        </w:rPr>
        <w:t xml:space="preserve">anufacturers of </w:t>
      </w:r>
      <w:r w:rsidR="009E5776">
        <w:rPr>
          <w:rFonts w:cs="Arial"/>
        </w:rPr>
        <w:t xml:space="preserve">combustible </w:t>
      </w:r>
      <w:r w:rsidR="0091165A">
        <w:rPr>
          <w:rFonts w:cs="Arial"/>
        </w:rPr>
        <w:t xml:space="preserve">cigarettes </w:t>
      </w:r>
      <w:r w:rsidR="003B5A7A">
        <w:rPr>
          <w:rFonts w:cs="Arial"/>
        </w:rPr>
        <w:t xml:space="preserve">must contend with </w:t>
      </w:r>
      <w:r w:rsidR="002A0BA9">
        <w:rPr>
          <w:rFonts w:cs="Arial"/>
        </w:rPr>
        <w:t xml:space="preserve">IRC chapter 52 </w:t>
      </w:r>
      <w:r w:rsidR="003B5A7A">
        <w:rPr>
          <w:rFonts w:cs="Arial"/>
        </w:rPr>
        <w:t>and FDA</w:t>
      </w:r>
      <w:r w:rsidR="002A0BA9">
        <w:rPr>
          <w:rFonts w:cs="Arial"/>
        </w:rPr>
        <w:t xml:space="preserve"> tobacco</w:t>
      </w:r>
      <w:r w:rsidR="003B5A7A">
        <w:rPr>
          <w:rFonts w:cs="Arial"/>
        </w:rPr>
        <w:t xml:space="preserve"> regulation</w:t>
      </w:r>
      <w:r w:rsidR="00C93600">
        <w:rPr>
          <w:rFonts w:cs="Arial"/>
        </w:rPr>
        <w:t xml:space="preserve"> as well as the PACT Act; </w:t>
      </w:r>
      <w:r w:rsidR="005201CA">
        <w:rPr>
          <w:rFonts w:cs="Arial"/>
        </w:rPr>
        <w:t xml:space="preserve">manufacturers of </w:t>
      </w:r>
      <w:r w:rsidR="00FF039A">
        <w:rPr>
          <w:rFonts w:cs="Arial"/>
        </w:rPr>
        <w:t xml:space="preserve">ENDS products </w:t>
      </w:r>
      <w:r w:rsidR="00053D6C">
        <w:rPr>
          <w:rFonts w:cs="Arial"/>
        </w:rPr>
        <w:t>within the FD&amp;C Act definition of “tobacco product”</w:t>
      </w:r>
      <w:r w:rsidR="00FF039A">
        <w:rPr>
          <w:rFonts w:cs="Arial"/>
        </w:rPr>
        <w:t xml:space="preserve"> must contend with FDA </w:t>
      </w:r>
      <w:r w:rsidR="002A0BA9">
        <w:rPr>
          <w:rFonts w:cs="Arial"/>
        </w:rPr>
        <w:t xml:space="preserve">tobacco </w:t>
      </w:r>
      <w:r w:rsidR="00FF039A">
        <w:rPr>
          <w:rFonts w:cs="Arial"/>
        </w:rPr>
        <w:t>regulation and</w:t>
      </w:r>
      <w:r w:rsidR="00A42702">
        <w:rPr>
          <w:rFonts w:cs="Arial"/>
        </w:rPr>
        <w:t xml:space="preserve"> now</w:t>
      </w:r>
      <w:r w:rsidR="00FF039A">
        <w:rPr>
          <w:rFonts w:cs="Arial"/>
        </w:rPr>
        <w:t xml:space="preserve"> the PACT Act</w:t>
      </w:r>
      <w:r w:rsidR="00A42702">
        <w:rPr>
          <w:rFonts w:cs="Arial"/>
        </w:rPr>
        <w:t>,</w:t>
      </w:r>
      <w:r w:rsidR="00FF039A">
        <w:rPr>
          <w:rFonts w:cs="Arial"/>
        </w:rPr>
        <w:t xml:space="preserve"> but not </w:t>
      </w:r>
      <w:r w:rsidR="002A0BA9">
        <w:rPr>
          <w:rFonts w:cs="Arial"/>
        </w:rPr>
        <w:t>IRC chapter 52</w:t>
      </w:r>
      <w:r w:rsidR="00FF039A">
        <w:rPr>
          <w:rFonts w:cs="Arial"/>
        </w:rPr>
        <w:t xml:space="preserve">; and manufacturers of other ENDS products must </w:t>
      </w:r>
      <w:r w:rsidR="00A42702">
        <w:rPr>
          <w:rFonts w:cs="Arial"/>
        </w:rPr>
        <w:t xml:space="preserve">now </w:t>
      </w:r>
      <w:r w:rsidR="00FF039A">
        <w:rPr>
          <w:rFonts w:cs="Arial"/>
        </w:rPr>
        <w:t xml:space="preserve">contend with </w:t>
      </w:r>
      <w:r w:rsidR="003C53AD">
        <w:rPr>
          <w:rFonts w:cs="Arial"/>
        </w:rPr>
        <w:t>the PACT Act</w:t>
      </w:r>
      <w:r w:rsidR="00A42702">
        <w:rPr>
          <w:rFonts w:cs="Arial"/>
        </w:rPr>
        <w:t xml:space="preserve">, </w:t>
      </w:r>
      <w:r w:rsidR="004F6107">
        <w:rPr>
          <w:rFonts w:cs="Arial"/>
        </w:rPr>
        <w:t xml:space="preserve">but neither </w:t>
      </w:r>
      <w:r w:rsidR="002A0BA9">
        <w:rPr>
          <w:rFonts w:cs="Arial"/>
        </w:rPr>
        <w:t xml:space="preserve">IRC chapter 52 </w:t>
      </w:r>
      <w:r w:rsidR="004F6107">
        <w:rPr>
          <w:rFonts w:cs="Arial"/>
        </w:rPr>
        <w:t xml:space="preserve">nor FDA </w:t>
      </w:r>
      <w:r w:rsidR="002A0BA9">
        <w:rPr>
          <w:rFonts w:cs="Arial"/>
        </w:rPr>
        <w:t xml:space="preserve">tobacco </w:t>
      </w:r>
      <w:r w:rsidR="004F6107">
        <w:rPr>
          <w:rFonts w:cs="Arial"/>
        </w:rPr>
        <w:t>regulation.</w:t>
      </w:r>
      <w:r w:rsidR="00BA299B">
        <w:rPr>
          <w:rFonts w:cs="Arial"/>
        </w:rPr>
        <w:t xml:space="preserve"> There is </w:t>
      </w:r>
      <w:r w:rsidR="00962297">
        <w:rPr>
          <w:rFonts w:cs="Arial"/>
        </w:rPr>
        <w:t xml:space="preserve">no conflict of laws here; </w:t>
      </w:r>
      <w:r w:rsidR="00BA299B">
        <w:rPr>
          <w:rFonts w:cs="Arial"/>
        </w:rPr>
        <w:t>Congress</w:t>
      </w:r>
      <w:r w:rsidR="00962297">
        <w:rPr>
          <w:rFonts w:cs="Arial"/>
        </w:rPr>
        <w:t xml:space="preserve"> simply chose</w:t>
      </w:r>
      <w:r w:rsidR="00A92E57">
        <w:rPr>
          <w:rFonts w:cs="Arial"/>
        </w:rPr>
        <w:t xml:space="preserve"> to subject different products to different </w:t>
      </w:r>
      <w:r w:rsidR="00B34B8F">
        <w:rPr>
          <w:rFonts w:cs="Arial"/>
        </w:rPr>
        <w:t xml:space="preserve">layers of </w:t>
      </w:r>
      <w:r w:rsidR="004A7619">
        <w:rPr>
          <w:rFonts w:cs="Arial"/>
        </w:rPr>
        <w:t>regulation</w:t>
      </w:r>
      <w:r w:rsidR="00B34B8F">
        <w:rPr>
          <w:rFonts w:cs="Arial"/>
        </w:rPr>
        <w:t>.</w:t>
      </w:r>
    </w:p>
    <w:p w14:paraId="16D81BB0" w14:textId="0C1F7F27" w:rsidR="00AE5415" w:rsidRDefault="00E542D9" w:rsidP="00E542D9">
      <w:pPr>
        <w:shd w:val="clear" w:color="auto" w:fill="FFFFFF"/>
        <w:ind w:firstLine="720"/>
        <w:rPr>
          <w:rFonts w:cs="Arial"/>
        </w:rPr>
      </w:pPr>
      <w:r w:rsidRPr="00E542D9">
        <w:rPr>
          <w:rFonts w:cs="Arial"/>
        </w:rPr>
        <w:t xml:space="preserve">It also bears mention that certain commenters mischaracterized the FDA’s policy on </w:t>
      </w:r>
      <w:r w:rsidR="00F73520">
        <w:rPr>
          <w:rFonts w:cs="Arial"/>
        </w:rPr>
        <w:t xml:space="preserve">ENDS </w:t>
      </w:r>
      <w:r w:rsidRPr="00E542D9">
        <w:rPr>
          <w:rFonts w:cs="Arial"/>
        </w:rPr>
        <w:t xml:space="preserve">liquids, suggesting that </w:t>
      </w:r>
      <w:r w:rsidR="00977AC0">
        <w:rPr>
          <w:rFonts w:cs="Arial"/>
        </w:rPr>
        <w:t>the FDA</w:t>
      </w:r>
      <w:r w:rsidRPr="00E542D9">
        <w:rPr>
          <w:rFonts w:cs="Arial"/>
        </w:rPr>
        <w:t xml:space="preserve"> </w:t>
      </w:r>
      <w:r w:rsidR="0028253E">
        <w:rPr>
          <w:rFonts w:cs="Arial"/>
        </w:rPr>
        <w:t xml:space="preserve">has </w:t>
      </w:r>
      <w:r w:rsidRPr="00E542D9">
        <w:rPr>
          <w:rFonts w:cs="Arial"/>
        </w:rPr>
        <w:t>deem</w:t>
      </w:r>
      <w:r w:rsidR="0028253E">
        <w:rPr>
          <w:rFonts w:cs="Arial"/>
        </w:rPr>
        <w:t>ed</w:t>
      </w:r>
      <w:r w:rsidRPr="00E542D9">
        <w:rPr>
          <w:rFonts w:cs="Arial"/>
        </w:rPr>
        <w:t xml:space="preserve"> only liquid nicotine and nicotine-containing liquid to fall within its regulatory purview. </w:t>
      </w:r>
      <w:r w:rsidR="00C73A91">
        <w:rPr>
          <w:rFonts w:cs="Arial"/>
        </w:rPr>
        <w:t xml:space="preserve">This is not </w:t>
      </w:r>
      <w:r w:rsidR="00C73A91">
        <w:rPr>
          <w:rFonts w:cs="Arial"/>
        </w:rPr>
        <w:lastRenderedPageBreak/>
        <w:t xml:space="preserve">necessarily </w:t>
      </w:r>
      <w:r w:rsidR="00A532F9">
        <w:rPr>
          <w:rFonts w:cs="Arial"/>
        </w:rPr>
        <w:t>true</w:t>
      </w:r>
      <w:r w:rsidR="00C73A91">
        <w:rPr>
          <w:rFonts w:cs="Arial"/>
        </w:rPr>
        <w:t xml:space="preserve">. </w:t>
      </w:r>
      <w:r w:rsidR="00A532F9">
        <w:rPr>
          <w:rFonts w:cs="Arial"/>
        </w:rPr>
        <w:t>Rather, t</w:t>
      </w:r>
      <w:r w:rsidRPr="00E542D9">
        <w:rPr>
          <w:rFonts w:cs="Arial"/>
        </w:rPr>
        <w:t>he FDA observed that</w:t>
      </w:r>
      <w:r w:rsidR="002F763B">
        <w:rPr>
          <w:rFonts w:cs="Arial"/>
        </w:rPr>
        <w:t xml:space="preserve"> non-nicotine-containing liquids may </w:t>
      </w:r>
      <w:r w:rsidR="00814A67">
        <w:rPr>
          <w:rFonts w:cs="Arial"/>
        </w:rPr>
        <w:t xml:space="preserve">be </w:t>
      </w:r>
      <w:r w:rsidR="002F763B">
        <w:rPr>
          <w:rFonts w:cs="Arial"/>
        </w:rPr>
        <w:t xml:space="preserve">FDA-regulated </w:t>
      </w:r>
      <w:r w:rsidR="00814A67">
        <w:rPr>
          <w:rFonts w:cs="Arial"/>
        </w:rPr>
        <w:t xml:space="preserve">as components </w:t>
      </w:r>
      <w:r w:rsidR="00053D6C">
        <w:rPr>
          <w:rFonts w:cs="Arial"/>
        </w:rPr>
        <w:t xml:space="preserve">or parts </w:t>
      </w:r>
      <w:r w:rsidR="00814A67">
        <w:rPr>
          <w:rFonts w:cs="Arial"/>
        </w:rPr>
        <w:t xml:space="preserve">of ENDS </w:t>
      </w:r>
      <w:r w:rsidR="002F763B">
        <w:rPr>
          <w:rFonts w:cs="Arial"/>
        </w:rPr>
        <w:t>liquids, to the extent that they are</w:t>
      </w:r>
      <w:r w:rsidRPr="00E542D9">
        <w:rPr>
          <w:rFonts w:cs="Arial"/>
        </w:rPr>
        <w:t xml:space="preserve"> “intended or reasonably expected to be used with or for the human consumption of a tobacco product and do not meet the definition of accessory.”</w:t>
      </w:r>
      <w:r w:rsidR="002E0428">
        <w:rPr>
          <w:rFonts w:cs="Arial"/>
        </w:rPr>
        <w:t xml:space="preserve"> 81 </w:t>
      </w:r>
      <w:r w:rsidR="007A54C0">
        <w:rPr>
          <w:rFonts w:cs="Arial"/>
        </w:rPr>
        <w:t>FR</w:t>
      </w:r>
      <w:r w:rsidR="002E0428">
        <w:rPr>
          <w:rFonts w:cs="Arial"/>
        </w:rPr>
        <w:t xml:space="preserve"> at </w:t>
      </w:r>
      <w:r w:rsidR="00C4200F">
        <w:rPr>
          <w:rFonts w:cs="Arial"/>
        </w:rPr>
        <w:t>29041.</w:t>
      </w:r>
      <w:r w:rsidRPr="00E542D9">
        <w:rPr>
          <w:rFonts w:cs="Arial"/>
        </w:rPr>
        <w:t xml:space="preserve"> It therefore </w:t>
      </w:r>
      <w:r w:rsidR="00095288">
        <w:rPr>
          <w:rFonts w:cs="Arial"/>
        </w:rPr>
        <w:t>may be</w:t>
      </w:r>
      <w:r w:rsidRPr="00E542D9">
        <w:rPr>
          <w:rFonts w:cs="Arial"/>
        </w:rPr>
        <w:t xml:space="preserve"> that </w:t>
      </w:r>
      <w:r w:rsidR="00084334">
        <w:rPr>
          <w:rFonts w:cs="Arial"/>
        </w:rPr>
        <w:t>the POSECCA’s coverage of</w:t>
      </w:r>
      <w:r w:rsidRPr="00E542D9">
        <w:rPr>
          <w:rFonts w:cs="Arial"/>
        </w:rPr>
        <w:t xml:space="preserve"> </w:t>
      </w:r>
      <w:r w:rsidR="00DF056A">
        <w:rPr>
          <w:rFonts w:cs="Arial"/>
        </w:rPr>
        <w:t xml:space="preserve">ENDS products that deliver </w:t>
      </w:r>
      <w:r w:rsidRPr="00E542D9">
        <w:rPr>
          <w:rFonts w:cs="Arial"/>
        </w:rPr>
        <w:t>“</w:t>
      </w:r>
      <w:proofErr w:type="gramStart"/>
      <w:r w:rsidRPr="00E542D9">
        <w:rPr>
          <w:rFonts w:cs="Arial"/>
        </w:rPr>
        <w:t>flavor</w:t>
      </w:r>
      <w:r w:rsidR="00084334">
        <w:rPr>
          <w:rFonts w:cs="Arial"/>
        </w:rPr>
        <w:t>[</w:t>
      </w:r>
      <w:proofErr w:type="gramEnd"/>
      <w:r w:rsidR="00084334">
        <w:rPr>
          <w:rFonts w:cs="Arial"/>
        </w:rPr>
        <w:t> ]</w:t>
      </w:r>
      <w:r w:rsidRPr="00E542D9">
        <w:rPr>
          <w:rFonts w:cs="Arial"/>
        </w:rPr>
        <w:t xml:space="preserve"> or any other substance” </w:t>
      </w:r>
      <w:r w:rsidR="00297F66">
        <w:rPr>
          <w:rFonts w:cs="Arial"/>
        </w:rPr>
        <w:t xml:space="preserve">beyond </w:t>
      </w:r>
      <w:r w:rsidR="00F5780F">
        <w:rPr>
          <w:rFonts w:cs="Arial"/>
        </w:rPr>
        <w:t>nicotine</w:t>
      </w:r>
      <w:r w:rsidR="00E12A5C">
        <w:rPr>
          <w:rFonts w:cs="Arial"/>
        </w:rPr>
        <w:t>, as well as non-tobacco-derived nicotine,</w:t>
      </w:r>
      <w:r w:rsidR="00F5780F">
        <w:rPr>
          <w:rFonts w:cs="Arial"/>
        </w:rPr>
        <w:t xml:space="preserve"> </w:t>
      </w:r>
      <w:r w:rsidR="00AE5415">
        <w:rPr>
          <w:rFonts w:cs="Arial"/>
        </w:rPr>
        <w:t xml:space="preserve">represents less of a step beyond FDA regulation </w:t>
      </w:r>
      <w:r w:rsidRPr="00E542D9">
        <w:rPr>
          <w:rFonts w:cs="Arial"/>
        </w:rPr>
        <w:t>than these commenters assert</w:t>
      </w:r>
      <w:r w:rsidR="00814A67">
        <w:rPr>
          <w:rFonts w:cs="Arial"/>
        </w:rPr>
        <w:t>ed</w:t>
      </w:r>
      <w:r w:rsidRPr="00E542D9">
        <w:rPr>
          <w:rFonts w:cs="Arial"/>
        </w:rPr>
        <w:t>.</w:t>
      </w:r>
    </w:p>
    <w:p w14:paraId="7460AF94" w14:textId="2F5DA9B3" w:rsidR="00E542D9" w:rsidRDefault="00275394" w:rsidP="00E542D9">
      <w:pPr>
        <w:shd w:val="clear" w:color="auto" w:fill="FFFFFF"/>
        <w:ind w:firstLine="720"/>
        <w:rPr>
          <w:rFonts w:cs="Arial"/>
        </w:rPr>
      </w:pPr>
      <w:r>
        <w:rPr>
          <w:rFonts w:cs="Arial"/>
        </w:rPr>
        <w:t>As for “accessories” of ENDS products, it is true that the FDA</w:t>
      </w:r>
      <w:r w:rsidR="00053D6C">
        <w:rPr>
          <w:rFonts w:cs="Arial"/>
        </w:rPr>
        <w:t>’s “deeming” rule</w:t>
      </w:r>
      <w:r>
        <w:rPr>
          <w:rFonts w:cs="Arial"/>
        </w:rPr>
        <w:t xml:space="preserve"> </w:t>
      </w:r>
      <w:r w:rsidR="00E542D9" w:rsidRPr="00E542D9">
        <w:rPr>
          <w:rFonts w:cs="Arial"/>
        </w:rPr>
        <w:t>exempt</w:t>
      </w:r>
      <w:r w:rsidR="00053D6C">
        <w:rPr>
          <w:rFonts w:cs="Arial"/>
        </w:rPr>
        <w:t>ed</w:t>
      </w:r>
      <w:r w:rsidR="00E542D9" w:rsidRPr="00E542D9">
        <w:rPr>
          <w:rFonts w:cs="Arial"/>
        </w:rPr>
        <w:t xml:space="preserve"> </w:t>
      </w:r>
      <w:r>
        <w:rPr>
          <w:rFonts w:cs="Arial"/>
        </w:rPr>
        <w:t>them from regulation</w:t>
      </w:r>
      <w:r w:rsidR="00920D5D">
        <w:rPr>
          <w:rFonts w:cs="Arial"/>
        </w:rPr>
        <w:t xml:space="preserve"> under the </w:t>
      </w:r>
      <w:r w:rsidR="00141890">
        <w:rPr>
          <w:rFonts w:cs="Arial"/>
        </w:rPr>
        <w:t>FD&amp;C Act</w:t>
      </w:r>
      <w:r>
        <w:rPr>
          <w:rFonts w:cs="Arial"/>
        </w:rPr>
        <w:t>. Yet Congress chose to render them nonmailable under the POSECCA</w:t>
      </w:r>
      <w:r w:rsidR="00E542D9" w:rsidRPr="00E542D9">
        <w:rPr>
          <w:rFonts w:cs="Arial"/>
        </w:rPr>
        <w:t>.</w:t>
      </w:r>
      <w:r w:rsidR="00513D12">
        <w:rPr>
          <w:rFonts w:cs="Arial"/>
        </w:rPr>
        <w:t xml:space="preserve"> </w:t>
      </w:r>
      <w:r w:rsidR="00F72C33">
        <w:rPr>
          <w:rFonts w:cs="Arial"/>
        </w:rPr>
        <w:t xml:space="preserve">We note that </w:t>
      </w:r>
      <w:r w:rsidR="00D833E0">
        <w:rPr>
          <w:rFonts w:cs="Arial"/>
        </w:rPr>
        <w:t>the POSECCA does not define “accessories</w:t>
      </w:r>
      <w:r w:rsidR="00CC34A2">
        <w:rPr>
          <w:rFonts w:cs="Arial"/>
        </w:rPr>
        <w:t xml:space="preserve">,” and so </w:t>
      </w:r>
      <w:r w:rsidR="00F34488">
        <w:rPr>
          <w:rFonts w:cs="Arial"/>
        </w:rPr>
        <w:t xml:space="preserve">Congress has not spoken to </w:t>
      </w:r>
      <w:r w:rsidR="00CC34A2">
        <w:rPr>
          <w:rFonts w:cs="Arial"/>
        </w:rPr>
        <w:t xml:space="preserve">whether the term should be interpreted in a manner consistent with the scope of items that the FDA has </w:t>
      </w:r>
      <w:r w:rsidR="00200A20">
        <w:rPr>
          <w:rFonts w:cs="Arial"/>
        </w:rPr>
        <w:t xml:space="preserve">defined as </w:t>
      </w:r>
      <w:r w:rsidR="00D43590">
        <w:rPr>
          <w:rFonts w:cs="Arial"/>
        </w:rPr>
        <w:t xml:space="preserve">outside </w:t>
      </w:r>
      <w:r w:rsidR="00200A20">
        <w:rPr>
          <w:rFonts w:cs="Arial"/>
        </w:rPr>
        <w:t xml:space="preserve">of its regulatory framework. </w:t>
      </w:r>
      <w:r w:rsidR="002357D9">
        <w:rPr>
          <w:rFonts w:cs="Arial"/>
        </w:rPr>
        <w:t xml:space="preserve">As discussed in section </w:t>
      </w:r>
      <w:r w:rsidR="002357D9" w:rsidRPr="0022072C">
        <w:rPr>
          <w:rFonts w:cs="Arial"/>
        </w:rPr>
        <w:t>III.D</w:t>
      </w:r>
      <w:r w:rsidR="002357D9">
        <w:rPr>
          <w:rFonts w:cs="Arial"/>
        </w:rPr>
        <w:t xml:space="preserve">, </w:t>
      </w:r>
      <w:r w:rsidR="00176AB7">
        <w:rPr>
          <w:rFonts w:cs="Arial"/>
        </w:rPr>
        <w:t>the POSECCA definition</w:t>
      </w:r>
      <w:r w:rsidR="00E3075A">
        <w:rPr>
          <w:rFonts w:cs="Arial"/>
        </w:rPr>
        <w:t xml:space="preserve"> resides in a statute administered by </w:t>
      </w:r>
      <w:r w:rsidR="00A407A0">
        <w:rPr>
          <w:rFonts w:cs="Arial"/>
        </w:rPr>
        <w:t>ATF</w:t>
      </w:r>
      <w:r w:rsidR="00E3075A">
        <w:rPr>
          <w:rFonts w:cs="Arial"/>
        </w:rPr>
        <w:t xml:space="preserve">, and so the Postal Service will look to </w:t>
      </w:r>
      <w:r w:rsidR="00A407A0">
        <w:rPr>
          <w:rFonts w:cs="Arial"/>
        </w:rPr>
        <w:t>ATF</w:t>
      </w:r>
      <w:r w:rsidR="00E3075A">
        <w:rPr>
          <w:rFonts w:cs="Arial"/>
        </w:rPr>
        <w:t xml:space="preserve"> for interpretive guidance about the scope of “accessories</w:t>
      </w:r>
      <w:r w:rsidR="00AF600E">
        <w:rPr>
          <w:rFonts w:cs="Arial"/>
        </w:rPr>
        <w:t>”</w:t>
      </w:r>
      <w:r w:rsidR="007C2F40">
        <w:rPr>
          <w:rFonts w:cs="Arial"/>
        </w:rPr>
        <w:t xml:space="preserve"> for PACT Act purposes.</w:t>
      </w:r>
    </w:p>
    <w:p w14:paraId="4F9D8E43" w14:textId="2621CC68" w:rsidR="003061C6" w:rsidRPr="000D3A79" w:rsidRDefault="001F2D7E" w:rsidP="000D3A79">
      <w:pPr>
        <w:spacing w:after="240" w:line="240" w:lineRule="auto"/>
        <w:ind w:left="2160" w:hanging="720"/>
        <w:rPr>
          <w:b/>
          <w:bCs/>
        </w:rPr>
      </w:pPr>
      <w:r w:rsidRPr="000D3A79">
        <w:rPr>
          <w:b/>
          <w:bCs/>
        </w:rPr>
        <w:t>2.</w:t>
      </w:r>
      <w:r w:rsidRPr="000D3A79">
        <w:rPr>
          <w:b/>
          <w:bCs/>
        </w:rPr>
        <w:tab/>
      </w:r>
      <w:bookmarkStart w:id="15" w:name="_Toc79569802"/>
      <w:r w:rsidR="002009FE" w:rsidRPr="000D3A79">
        <w:rPr>
          <w:b/>
          <w:bCs/>
        </w:rPr>
        <w:t>Laws Regarding Marijuana</w:t>
      </w:r>
      <w:r w:rsidR="00C8605A" w:rsidRPr="000D3A79">
        <w:rPr>
          <w:b/>
          <w:bCs/>
        </w:rPr>
        <w:t>, Hemp,</w:t>
      </w:r>
      <w:r w:rsidR="002009FE" w:rsidRPr="000D3A79">
        <w:rPr>
          <w:b/>
          <w:bCs/>
        </w:rPr>
        <w:t xml:space="preserve"> and Hemp</w:t>
      </w:r>
      <w:r w:rsidR="00C8605A" w:rsidRPr="000D3A79">
        <w:rPr>
          <w:b/>
          <w:bCs/>
        </w:rPr>
        <w:t xml:space="preserve"> Derivatives</w:t>
      </w:r>
      <w:bookmarkEnd w:id="15"/>
    </w:p>
    <w:p w14:paraId="2B45DB09" w14:textId="2EAEBD73" w:rsidR="00A555C2" w:rsidRDefault="006219D5" w:rsidP="00BA698F">
      <w:pPr>
        <w:shd w:val="clear" w:color="auto" w:fill="FFFFFF"/>
        <w:ind w:firstLine="720"/>
        <w:rPr>
          <w:rFonts w:cs="Arial"/>
        </w:rPr>
      </w:pPr>
      <w:r w:rsidRPr="006219D5">
        <w:rPr>
          <w:rFonts w:cs="Arial"/>
        </w:rPr>
        <w:t xml:space="preserve">Numerous </w:t>
      </w:r>
      <w:r w:rsidR="0019768B">
        <w:rPr>
          <w:rFonts w:cs="Arial"/>
        </w:rPr>
        <w:t xml:space="preserve">pro-ENDS </w:t>
      </w:r>
      <w:r w:rsidRPr="006219D5">
        <w:rPr>
          <w:rFonts w:cs="Arial"/>
        </w:rPr>
        <w:t>commenters urge</w:t>
      </w:r>
      <w:r w:rsidR="00A73EEB">
        <w:rPr>
          <w:rFonts w:cs="Arial"/>
        </w:rPr>
        <w:t>d</w:t>
      </w:r>
      <w:r w:rsidRPr="006219D5">
        <w:rPr>
          <w:rFonts w:cs="Arial"/>
        </w:rPr>
        <w:t xml:space="preserve"> that </w:t>
      </w:r>
      <w:r w:rsidR="0088063C">
        <w:rPr>
          <w:rFonts w:cs="Arial"/>
        </w:rPr>
        <w:t>the POSECCA be construed</w:t>
      </w:r>
      <w:r w:rsidR="0019768B">
        <w:rPr>
          <w:rFonts w:cs="Arial"/>
        </w:rPr>
        <w:t xml:space="preserve">, or the Postal Service’s implementing regulations be </w:t>
      </w:r>
      <w:r w:rsidR="00490D47">
        <w:rPr>
          <w:rFonts w:cs="Arial"/>
        </w:rPr>
        <w:t>written</w:t>
      </w:r>
      <w:r w:rsidR="0019768B">
        <w:rPr>
          <w:rFonts w:cs="Arial"/>
        </w:rPr>
        <w:t>,</w:t>
      </w:r>
      <w:r w:rsidR="0088063C">
        <w:rPr>
          <w:rFonts w:cs="Arial"/>
        </w:rPr>
        <w:t xml:space="preserve"> </w:t>
      </w:r>
      <w:r w:rsidRPr="006219D5">
        <w:rPr>
          <w:rFonts w:cs="Arial"/>
        </w:rPr>
        <w:t xml:space="preserve">to exempt </w:t>
      </w:r>
      <w:r w:rsidR="0084083F">
        <w:rPr>
          <w:rFonts w:cs="Arial"/>
        </w:rPr>
        <w:t xml:space="preserve">ENDS </w:t>
      </w:r>
      <w:r w:rsidR="00893310">
        <w:rPr>
          <w:rFonts w:cs="Arial"/>
        </w:rPr>
        <w:t xml:space="preserve">items </w:t>
      </w:r>
      <w:r w:rsidR="0084083F">
        <w:rPr>
          <w:rFonts w:cs="Arial"/>
        </w:rPr>
        <w:t xml:space="preserve">consisting of, containing, or used with </w:t>
      </w:r>
      <w:r w:rsidRPr="006219D5">
        <w:rPr>
          <w:rFonts w:cs="Arial"/>
        </w:rPr>
        <w:t>marijuana and marijuana-</w:t>
      </w:r>
      <w:r w:rsidR="002706BA">
        <w:rPr>
          <w:rFonts w:cs="Arial"/>
        </w:rPr>
        <w:t xml:space="preserve"> or hemp-</w:t>
      </w:r>
      <w:r w:rsidRPr="006219D5">
        <w:rPr>
          <w:rFonts w:cs="Arial"/>
        </w:rPr>
        <w:t xml:space="preserve">derived products. </w:t>
      </w:r>
      <w:r w:rsidR="00F57C34">
        <w:rPr>
          <w:rFonts w:cs="Arial"/>
        </w:rPr>
        <w:t xml:space="preserve">Many of these commenters asserted that rendering such items nonmailable would </w:t>
      </w:r>
      <w:r w:rsidR="00F57C34" w:rsidRPr="006219D5">
        <w:rPr>
          <w:rFonts w:cs="Arial"/>
        </w:rPr>
        <w:t xml:space="preserve">conflict with </w:t>
      </w:r>
      <w:r w:rsidR="00B05656">
        <w:rPr>
          <w:rFonts w:cs="Arial"/>
        </w:rPr>
        <w:t>S</w:t>
      </w:r>
      <w:r w:rsidR="00F57C34" w:rsidRPr="006219D5">
        <w:rPr>
          <w:rFonts w:cs="Arial"/>
        </w:rPr>
        <w:t xml:space="preserve">tate </w:t>
      </w:r>
      <w:r w:rsidR="00B05656">
        <w:rPr>
          <w:rFonts w:cs="Arial"/>
        </w:rPr>
        <w:t xml:space="preserve">and local </w:t>
      </w:r>
      <w:r w:rsidR="00F57C34" w:rsidRPr="006219D5">
        <w:rPr>
          <w:rFonts w:cs="Arial"/>
        </w:rPr>
        <w:t xml:space="preserve">laws decriminalizing </w:t>
      </w:r>
      <w:r w:rsidR="00F3765C">
        <w:rPr>
          <w:rFonts w:cs="Arial"/>
        </w:rPr>
        <w:t xml:space="preserve">or </w:t>
      </w:r>
      <w:r w:rsidR="00F3765C">
        <w:rPr>
          <w:rFonts w:cs="Arial"/>
        </w:rPr>
        <w:lastRenderedPageBreak/>
        <w:t xml:space="preserve">legalizing </w:t>
      </w:r>
      <w:r w:rsidR="00F57C34" w:rsidRPr="006219D5">
        <w:rPr>
          <w:rFonts w:cs="Arial"/>
        </w:rPr>
        <w:t>cannabis</w:t>
      </w:r>
      <w:r w:rsidR="000360C1">
        <w:rPr>
          <w:rFonts w:cs="Arial"/>
        </w:rPr>
        <w:t xml:space="preserve"> for medical or recreational purposes</w:t>
      </w:r>
      <w:r w:rsidR="00F57C34">
        <w:rPr>
          <w:rFonts w:cs="Arial"/>
        </w:rPr>
        <w:t xml:space="preserve">. </w:t>
      </w:r>
      <w:r w:rsidRPr="006219D5">
        <w:rPr>
          <w:rFonts w:cs="Arial"/>
        </w:rPr>
        <w:t xml:space="preserve">Some claimed that the </w:t>
      </w:r>
      <w:r w:rsidR="00FC601D">
        <w:rPr>
          <w:rFonts w:cs="Arial"/>
        </w:rPr>
        <w:t xml:space="preserve">inclusion of such products would conflict </w:t>
      </w:r>
      <w:r w:rsidRPr="006219D5">
        <w:rPr>
          <w:rFonts w:cs="Arial"/>
        </w:rPr>
        <w:t xml:space="preserve">with </w:t>
      </w:r>
      <w:r w:rsidR="00E3001F">
        <w:rPr>
          <w:rFonts w:cs="Arial"/>
        </w:rPr>
        <w:t xml:space="preserve">provisions </w:t>
      </w:r>
      <w:r w:rsidR="008641CC">
        <w:rPr>
          <w:rFonts w:cs="Arial"/>
        </w:rPr>
        <w:t xml:space="preserve">in recent appropriations Acts </w:t>
      </w:r>
      <w:r w:rsidR="00CC232D">
        <w:rPr>
          <w:rFonts w:cs="Arial"/>
        </w:rPr>
        <w:t xml:space="preserve">(including </w:t>
      </w:r>
      <w:r w:rsidR="00A81C9A">
        <w:rPr>
          <w:rFonts w:cs="Arial"/>
        </w:rPr>
        <w:t xml:space="preserve">that which includes the POSECCA) that </w:t>
      </w:r>
      <w:r w:rsidR="00B24E43">
        <w:rPr>
          <w:rFonts w:cs="Arial"/>
        </w:rPr>
        <w:t xml:space="preserve">bar </w:t>
      </w:r>
      <w:r w:rsidRPr="006219D5">
        <w:rPr>
          <w:rFonts w:cs="Arial"/>
        </w:rPr>
        <w:t xml:space="preserve">the Department of Justice </w:t>
      </w:r>
      <w:r w:rsidR="00B24E43">
        <w:rPr>
          <w:rFonts w:cs="Arial"/>
        </w:rPr>
        <w:t xml:space="preserve">from using </w:t>
      </w:r>
      <w:r w:rsidR="008E0310">
        <w:rPr>
          <w:rFonts w:cs="Arial"/>
        </w:rPr>
        <w:t xml:space="preserve">appropriated funds to </w:t>
      </w:r>
      <w:r w:rsidR="00F0635C">
        <w:rPr>
          <w:rFonts w:cs="Arial"/>
        </w:rPr>
        <w:t xml:space="preserve">prevent certain States and Territories </w:t>
      </w:r>
      <w:r w:rsidR="00BA698F">
        <w:rPr>
          <w:rFonts w:cs="Arial"/>
        </w:rPr>
        <w:t xml:space="preserve">“from </w:t>
      </w:r>
      <w:r w:rsidR="00BA698F" w:rsidRPr="00BA698F">
        <w:rPr>
          <w:rFonts w:cs="Arial"/>
        </w:rPr>
        <w:t>implementing</w:t>
      </w:r>
      <w:r w:rsidR="00BA698F">
        <w:rPr>
          <w:rFonts w:cs="Arial"/>
        </w:rPr>
        <w:t xml:space="preserve"> </w:t>
      </w:r>
      <w:r w:rsidR="00BA698F" w:rsidRPr="00BA698F">
        <w:rPr>
          <w:rFonts w:cs="Arial"/>
        </w:rPr>
        <w:t>their own laws that authorize the use, distribution, possession, or</w:t>
      </w:r>
      <w:r w:rsidR="00BA698F">
        <w:rPr>
          <w:rFonts w:cs="Arial"/>
        </w:rPr>
        <w:t xml:space="preserve"> </w:t>
      </w:r>
      <w:r w:rsidR="00BA698F" w:rsidRPr="00BA698F">
        <w:rPr>
          <w:rFonts w:cs="Arial"/>
        </w:rPr>
        <w:t>cultivation of medical marijuana.</w:t>
      </w:r>
      <w:r w:rsidR="00BA698F">
        <w:rPr>
          <w:rFonts w:cs="Arial"/>
        </w:rPr>
        <w:t>”</w:t>
      </w:r>
      <w:r w:rsidR="00A81C9A">
        <w:rPr>
          <w:rFonts w:cs="Arial"/>
        </w:rPr>
        <w:t xml:space="preserve"> </w:t>
      </w:r>
      <w:r w:rsidR="00AE766D">
        <w:rPr>
          <w:rFonts w:cs="Arial"/>
        </w:rPr>
        <w:t xml:space="preserve">E.g., </w:t>
      </w:r>
      <w:r w:rsidR="00D56BF9">
        <w:rPr>
          <w:rFonts w:cs="Arial"/>
        </w:rPr>
        <w:t>Pub. L.</w:t>
      </w:r>
      <w:r w:rsidR="00E213CD">
        <w:rPr>
          <w:rFonts w:cs="Arial"/>
        </w:rPr>
        <w:t xml:space="preserve"> 116</w:t>
      </w:r>
      <w:r w:rsidR="00F04997">
        <w:rPr>
          <w:rFonts w:cs="Arial"/>
        </w:rPr>
        <w:t>–</w:t>
      </w:r>
      <w:r w:rsidR="00E213CD">
        <w:rPr>
          <w:rFonts w:cs="Arial"/>
        </w:rPr>
        <w:t xml:space="preserve">260, </w:t>
      </w:r>
      <w:r w:rsidR="009975BB">
        <w:rPr>
          <w:rFonts w:cs="Arial"/>
        </w:rPr>
        <w:t>div. B,</w:t>
      </w:r>
      <w:r w:rsidR="006D38F6">
        <w:rPr>
          <w:rFonts w:cs="Arial"/>
        </w:rPr>
        <w:t xml:space="preserve"> </w:t>
      </w:r>
      <w:r w:rsidR="00D56BF9">
        <w:rPr>
          <w:rFonts w:cs="Arial"/>
        </w:rPr>
        <w:t xml:space="preserve">sec. </w:t>
      </w:r>
      <w:r w:rsidR="00E213CD">
        <w:rPr>
          <w:rFonts w:cs="Arial"/>
        </w:rPr>
        <w:t>531.</w:t>
      </w:r>
      <w:r w:rsidR="00FC601D">
        <w:rPr>
          <w:rFonts w:cs="Arial"/>
        </w:rPr>
        <w:t xml:space="preserve"> Finally, some argued </w:t>
      </w:r>
      <w:r w:rsidRPr="006219D5">
        <w:rPr>
          <w:rFonts w:cs="Arial"/>
        </w:rPr>
        <w:t xml:space="preserve">that </w:t>
      </w:r>
      <w:r w:rsidR="006A2E61">
        <w:rPr>
          <w:rFonts w:cs="Arial"/>
        </w:rPr>
        <w:t xml:space="preserve">inclusion of such products would conflict </w:t>
      </w:r>
      <w:r w:rsidRPr="006219D5">
        <w:rPr>
          <w:rFonts w:cs="Arial"/>
        </w:rPr>
        <w:t xml:space="preserve">with </w:t>
      </w:r>
      <w:r w:rsidR="00EF3CE5">
        <w:rPr>
          <w:rFonts w:cs="Arial"/>
        </w:rPr>
        <w:t xml:space="preserve">the removal of </w:t>
      </w:r>
      <w:r w:rsidR="007C7775">
        <w:rPr>
          <w:rFonts w:cs="Arial"/>
        </w:rPr>
        <w:t>hemp</w:t>
      </w:r>
      <w:r w:rsidR="00F06003">
        <w:rPr>
          <w:rFonts w:cs="Arial"/>
        </w:rPr>
        <w:t xml:space="preserve"> and hemp</w:t>
      </w:r>
      <w:r w:rsidR="002F3CC1">
        <w:rPr>
          <w:rFonts w:cs="Arial"/>
        </w:rPr>
        <w:t xml:space="preserve"> derivatives</w:t>
      </w:r>
      <w:r w:rsidR="008F4589">
        <w:rPr>
          <w:rFonts w:cs="Arial"/>
        </w:rPr>
        <w:t xml:space="preserve"> (with </w:t>
      </w:r>
      <w:r w:rsidR="00DF0F64">
        <w:rPr>
          <w:rFonts w:cs="Arial"/>
        </w:rPr>
        <w:t xml:space="preserve">not more than 0.3 percent </w:t>
      </w:r>
      <w:r w:rsidR="008F4589">
        <w:rPr>
          <w:rFonts w:cs="Arial"/>
        </w:rPr>
        <w:t>tetrahydrocanna</w:t>
      </w:r>
      <w:r w:rsidR="003B1111">
        <w:rPr>
          <w:rFonts w:cs="Arial"/>
        </w:rPr>
        <w:t>b</w:t>
      </w:r>
      <w:r w:rsidR="008F4589">
        <w:rPr>
          <w:rFonts w:cs="Arial"/>
        </w:rPr>
        <w:t>i</w:t>
      </w:r>
      <w:r w:rsidR="003B1111">
        <w:rPr>
          <w:rFonts w:cs="Arial"/>
        </w:rPr>
        <w:t>n</w:t>
      </w:r>
      <w:r w:rsidR="008F4589">
        <w:rPr>
          <w:rFonts w:cs="Arial"/>
        </w:rPr>
        <w:t>ol (</w:t>
      </w:r>
      <w:r w:rsidR="007A54C0">
        <w:rPr>
          <w:rFonts w:cs="Arial"/>
        </w:rPr>
        <w:t>“</w:t>
      </w:r>
      <w:r w:rsidR="008F4589">
        <w:rPr>
          <w:rFonts w:cs="Arial"/>
        </w:rPr>
        <w:t>THC</w:t>
      </w:r>
      <w:r w:rsidR="007A54C0">
        <w:rPr>
          <w:rFonts w:cs="Arial"/>
        </w:rPr>
        <w:t>”</w:t>
      </w:r>
      <w:r w:rsidR="008F4589">
        <w:rPr>
          <w:rFonts w:cs="Arial"/>
        </w:rPr>
        <w:t>)</w:t>
      </w:r>
      <w:r w:rsidR="00B71B78">
        <w:rPr>
          <w:rFonts w:cs="Arial"/>
        </w:rPr>
        <w:t xml:space="preserve"> by dry weight</w:t>
      </w:r>
      <w:r w:rsidR="008F4589">
        <w:rPr>
          <w:rFonts w:cs="Arial"/>
        </w:rPr>
        <w:t>)</w:t>
      </w:r>
      <w:r w:rsidR="000A1407">
        <w:rPr>
          <w:rFonts w:cs="Arial"/>
        </w:rPr>
        <w:t xml:space="preserve"> </w:t>
      </w:r>
      <w:r w:rsidR="00B210F3" w:rsidRPr="006219D5">
        <w:rPr>
          <w:rFonts w:cs="Arial"/>
        </w:rPr>
        <w:t>from the definition of marijuana in the Controlled Substances Act (</w:t>
      </w:r>
      <w:r w:rsidR="007A54C0">
        <w:rPr>
          <w:rFonts w:cs="Arial"/>
        </w:rPr>
        <w:t>“</w:t>
      </w:r>
      <w:r w:rsidR="00B210F3" w:rsidRPr="006219D5">
        <w:rPr>
          <w:rFonts w:cs="Arial"/>
        </w:rPr>
        <w:t>CSA</w:t>
      </w:r>
      <w:r w:rsidR="007A54C0">
        <w:rPr>
          <w:rFonts w:cs="Arial"/>
        </w:rPr>
        <w:t>”</w:t>
      </w:r>
      <w:r w:rsidR="00B210F3" w:rsidRPr="006219D5">
        <w:rPr>
          <w:rFonts w:cs="Arial"/>
        </w:rPr>
        <w:t>)</w:t>
      </w:r>
      <w:r w:rsidR="00F06003">
        <w:rPr>
          <w:rFonts w:cs="Arial"/>
        </w:rPr>
        <w:t xml:space="preserve">. </w:t>
      </w:r>
      <w:r w:rsidR="0014146A">
        <w:rPr>
          <w:rFonts w:cs="Arial"/>
        </w:rPr>
        <w:t>See Agriculture Improvement Act of 2018, Pub. L. 115–334, sec. 10113, 12619, 132 Stat. 4490, 4908, 5018, Pub. L. 91–513, sec. 102(16)(B)</w:t>
      </w:r>
      <w:r w:rsidR="0045331D">
        <w:rPr>
          <w:rFonts w:cs="Arial"/>
        </w:rPr>
        <w:t xml:space="preserve">, </w:t>
      </w:r>
      <w:r w:rsidR="0045331D" w:rsidRPr="005E6248">
        <w:rPr>
          <w:rFonts w:cs="Arial"/>
        </w:rPr>
        <w:t>codified at</w:t>
      </w:r>
      <w:r w:rsidR="0045331D">
        <w:rPr>
          <w:rFonts w:cs="Arial"/>
        </w:rPr>
        <w:t xml:space="preserve"> </w:t>
      </w:r>
      <w:r w:rsidR="00536C38">
        <w:rPr>
          <w:rFonts w:cs="Arial"/>
        </w:rPr>
        <w:t>7 U.S.C. 1639o(1)</w:t>
      </w:r>
      <w:r w:rsidR="0014146A">
        <w:rPr>
          <w:rFonts w:cs="Arial"/>
        </w:rPr>
        <w:t>; 21 U.S.C. 802(16)(B), 812(c)(17)</w:t>
      </w:r>
      <w:r w:rsidR="00D77F07">
        <w:rPr>
          <w:rFonts w:cs="Arial"/>
        </w:rPr>
        <w:t>.</w:t>
      </w:r>
    </w:p>
    <w:p w14:paraId="2535CD8A" w14:textId="37440A26" w:rsidR="000545EC" w:rsidRDefault="00377BA1" w:rsidP="00E542D9">
      <w:pPr>
        <w:shd w:val="clear" w:color="auto" w:fill="FFFFFF"/>
        <w:ind w:firstLine="720"/>
        <w:rPr>
          <w:rFonts w:cs="Arial"/>
        </w:rPr>
      </w:pPr>
      <w:r>
        <w:rPr>
          <w:rFonts w:cs="Arial"/>
        </w:rPr>
        <w:t xml:space="preserve">As discussed further in section </w:t>
      </w:r>
      <w:r w:rsidRPr="0022072C">
        <w:rPr>
          <w:rFonts w:cs="Arial"/>
        </w:rPr>
        <w:t>III.D</w:t>
      </w:r>
      <w:r w:rsidR="00B4512A" w:rsidRPr="00B4512A">
        <w:rPr>
          <w:rFonts w:cs="Arial"/>
        </w:rPr>
        <w:t>.1.i</w:t>
      </w:r>
      <w:r>
        <w:rPr>
          <w:rFonts w:cs="Arial"/>
        </w:rPr>
        <w:t>, n</w:t>
      </w:r>
      <w:r w:rsidR="0019715A">
        <w:rPr>
          <w:rFonts w:cs="Arial"/>
        </w:rPr>
        <w:t xml:space="preserve">otwithstanding Congress’s </w:t>
      </w:r>
      <w:r w:rsidR="00A263A6">
        <w:rPr>
          <w:rFonts w:cs="Arial"/>
        </w:rPr>
        <w:t>use of “nicotine</w:t>
      </w:r>
      <w:r w:rsidR="00EE33B6">
        <w:rPr>
          <w:rFonts w:cs="Arial"/>
        </w:rPr>
        <w:t>” in the term “electronic nicotine delivery systems</w:t>
      </w:r>
      <w:r w:rsidR="006A4E2A">
        <w:rPr>
          <w:rFonts w:cs="Arial"/>
        </w:rPr>
        <w:t>,” the plain language of the POSECCA definition</w:t>
      </w:r>
      <w:r w:rsidR="00920D60">
        <w:rPr>
          <w:rFonts w:cs="Arial"/>
        </w:rPr>
        <w:t xml:space="preserve"> makes clear that</w:t>
      </w:r>
      <w:r w:rsidR="003B4E04">
        <w:rPr>
          <w:rFonts w:cs="Arial"/>
        </w:rPr>
        <w:t xml:space="preserve"> nonmailable ENDS products include</w:t>
      </w:r>
      <w:r w:rsidR="00DE7D3F">
        <w:rPr>
          <w:rFonts w:cs="Arial"/>
        </w:rPr>
        <w:t xml:space="preserve"> those containing or used with not only nicotine,</w:t>
      </w:r>
      <w:r w:rsidR="003B4E04">
        <w:rPr>
          <w:rFonts w:cs="Arial"/>
        </w:rPr>
        <w:t xml:space="preserve"> </w:t>
      </w:r>
      <w:r w:rsidR="00DE7D3F">
        <w:rPr>
          <w:rFonts w:cs="Arial"/>
        </w:rPr>
        <w:t xml:space="preserve">but also </w:t>
      </w:r>
      <w:r w:rsidR="003B4E04">
        <w:rPr>
          <w:rFonts w:cs="Arial"/>
        </w:rPr>
        <w:t>“flavor[ ] or any other substance</w:t>
      </w:r>
      <w:r w:rsidR="00DE7D3F">
        <w:rPr>
          <w:rFonts w:cs="Arial"/>
        </w:rPr>
        <w:t xml:space="preserve">.” </w:t>
      </w:r>
      <w:r w:rsidR="008E34B5">
        <w:rPr>
          <w:rFonts w:cs="Arial"/>
        </w:rPr>
        <w:t>It goes without saying that marijuana</w:t>
      </w:r>
      <w:r w:rsidR="00E40D88">
        <w:rPr>
          <w:rFonts w:cs="Arial"/>
        </w:rPr>
        <w:t xml:space="preserve">, hemp, and their derivatives are substances. </w:t>
      </w:r>
      <w:r w:rsidR="00A2713A">
        <w:rPr>
          <w:rFonts w:cs="Arial"/>
        </w:rPr>
        <w:t xml:space="preserve">Hence, to the extent that </w:t>
      </w:r>
      <w:r w:rsidR="00BB2AF2">
        <w:rPr>
          <w:rFonts w:cs="Arial"/>
        </w:rPr>
        <w:t xml:space="preserve">they may be </w:t>
      </w:r>
      <w:r w:rsidR="000264B8">
        <w:rPr>
          <w:rFonts w:cs="Arial"/>
        </w:rPr>
        <w:t xml:space="preserve">delivered to </w:t>
      </w:r>
      <w:r w:rsidR="00765160">
        <w:rPr>
          <w:rFonts w:cs="Arial"/>
        </w:rPr>
        <w:t>an inhaling user through an aerosolized solution, they and the</w:t>
      </w:r>
      <w:r w:rsidR="00C247FD">
        <w:rPr>
          <w:rFonts w:cs="Arial"/>
        </w:rPr>
        <w:t xml:space="preserve"> related </w:t>
      </w:r>
      <w:r w:rsidR="00885DD0">
        <w:rPr>
          <w:rFonts w:cs="Arial"/>
        </w:rPr>
        <w:t>delivery systems, parts, components, liquids, and accessories</w:t>
      </w:r>
      <w:r w:rsidR="008E34B5">
        <w:rPr>
          <w:rFonts w:cs="Arial"/>
        </w:rPr>
        <w:t xml:space="preserve"> </w:t>
      </w:r>
      <w:r w:rsidR="0087046A">
        <w:rPr>
          <w:rFonts w:cs="Arial"/>
        </w:rPr>
        <w:t xml:space="preserve">clearly </w:t>
      </w:r>
      <w:r w:rsidR="00885DD0">
        <w:rPr>
          <w:rFonts w:cs="Arial"/>
        </w:rPr>
        <w:t xml:space="preserve">fall within the </w:t>
      </w:r>
      <w:r w:rsidR="00382100">
        <w:rPr>
          <w:rFonts w:cs="Arial"/>
        </w:rPr>
        <w:t>POSECCA’s scope.</w:t>
      </w:r>
    </w:p>
    <w:p w14:paraId="62859B02" w14:textId="00A6A346" w:rsidR="005E6248" w:rsidRDefault="006B7360" w:rsidP="00E542D9">
      <w:pPr>
        <w:shd w:val="clear" w:color="auto" w:fill="FFFFFF"/>
        <w:ind w:firstLine="720"/>
      </w:pPr>
      <w:r>
        <w:rPr>
          <w:rFonts w:cs="Arial"/>
        </w:rPr>
        <w:t xml:space="preserve">That said, </w:t>
      </w:r>
      <w:r w:rsidR="002904F9">
        <w:rPr>
          <w:rFonts w:cs="Arial"/>
        </w:rPr>
        <w:t>THC</w:t>
      </w:r>
      <w:r w:rsidR="001444A4">
        <w:rPr>
          <w:rFonts w:cs="Arial"/>
        </w:rPr>
        <w:t xml:space="preserve"> </w:t>
      </w:r>
      <w:r w:rsidR="00445631">
        <w:rPr>
          <w:rFonts w:cs="Arial"/>
        </w:rPr>
        <w:t xml:space="preserve">is </w:t>
      </w:r>
      <w:r w:rsidR="00AD4E4F">
        <w:rPr>
          <w:rFonts w:cs="Arial"/>
        </w:rPr>
        <w:t xml:space="preserve">generally </w:t>
      </w:r>
      <w:r w:rsidR="00CF7399">
        <w:rPr>
          <w:rFonts w:cs="Arial"/>
        </w:rPr>
        <w:t xml:space="preserve">nonmailable </w:t>
      </w:r>
      <w:r w:rsidR="005D547E">
        <w:rPr>
          <w:rFonts w:cs="Arial"/>
        </w:rPr>
        <w:t xml:space="preserve">for reasons independent of the POSECCA and the PACT Act. </w:t>
      </w:r>
      <w:r w:rsidR="00445631">
        <w:rPr>
          <w:rFonts w:cs="Arial"/>
        </w:rPr>
        <w:t xml:space="preserve">THC-containing </w:t>
      </w:r>
      <w:r w:rsidR="00663FFB">
        <w:rPr>
          <w:rFonts w:cs="Arial"/>
        </w:rPr>
        <w:t xml:space="preserve">substances </w:t>
      </w:r>
      <w:r w:rsidR="00F95F8C">
        <w:rPr>
          <w:rFonts w:cs="Arial"/>
        </w:rPr>
        <w:t xml:space="preserve">remain </w:t>
      </w:r>
      <w:r w:rsidR="00E66C53">
        <w:rPr>
          <w:rFonts w:cs="Arial"/>
        </w:rPr>
        <w:t xml:space="preserve">generally </w:t>
      </w:r>
      <w:r w:rsidR="00F95F8C">
        <w:rPr>
          <w:rFonts w:cs="Arial"/>
        </w:rPr>
        <w:lastRenderedPageBreak/>
        <w:t xml:space="preserve">prohibited </w:t>
      </w:r>
      <w:r w:rsidR="006219D5" w:rsidRPr="006219D5">
        <w:rPr>
          <w:rFonts w:cs="Arial"/>
        </w:rPr>
        <w:t>under the CSA</w:t>
      </w:r>
      <w:r w:rsidR="00770C3A">
        <w:rPr>
          <w:rFonts w:cs="Arial"/>
        </w:rPr>
        <w:t xml:space="preserve">, </w:t>
      </w:r>
      <w:r w:rsidR="006219D5" w:rsidRPr="006219D5">
        <w:rPr>
          <w:rFonts w:cs="Arial"/>
        </w:rPr>
        <w:t xml:space="preserve">regardless of whether </w:t>
      </w:r>
      <w:r w:rsidR="00663FFB">
        <w:rPr>
          <w:rFonts w:cs="Arial"/>
        </w:rPr>
        <w:t xml:space="preserve">they are </w:t>
      </w:r>
      <w:r w:rsidR="00770C3A">
        <w:rPr>
          <w:rFonts w:cs="Arial"/>
        </w:rPr>
        <w:t xml:space="preserve">intended </w:t>
      </w:r>
      <w:r w:rsidR="006219D5" w:rsidRPr="006219D5">
        <w:rPr>
          <w:rFonts w:cs="Arial"/>
        </w:rPr>
        <w:t xml:space="preserve">for </w:t>
      </w:r>
      <w:r w:rsidR="00770C3A">
        <w:rPr>
          <w:rFonts w:cs="Arial"/>
        </w:rPr>
        <w:t xml:space="preserve">purportedly </w:t>
      </w:r>
      <w:r w:rsidR="006219D5" w:rsidRPr="006219D5">
        <w:rPr>
          <w:rFonts w:cs="Arial"/>
        </w:rPr>
        <w:t xml:space="preserve">medical or recreational </w:t>
      </w:r>
      <w:r w:rsidR="00770C3A">
        <w:rPr>
          <w:rFonts w:cs="Arial"/>
        </w:rPr>
        <w:t>purposes</w:t>
      </w:r>
      <w:r w:rsidR="006219D5" w:rsidRPr="006219D5">
        <w:rPr>
          <w:rFonts w:cs="Arial"/>
        </w:rPr>
        <w:t xml:space="preserve"> or whether the </w:t>
      </w:r>
      <w:r w:rsidR="00770C3A">
        <w:rPr>
          <w:rFonts w:cs="Arial"/>
        </w:rPr>
        <w:t xml:space="preserve">shipper or recipient </w:t>
      </w:r>
      <w:r w:rsidR="006219D5" w:rsidRPr="006219D5">
        <w:rPr>
          <w:rFonts w:cs="Arial"/>
        </w:rPr>
        <w:t xml:space="preserve">resides in a </w:t>
      </w:r>
      <w:r w:rsidR="00377BA1">
        <w:rPr>
          <w:rFonts w:cs="Arial"/>
        </w:rPr>
        <w:t>S</w:t>
      </w:r>
      <w:r w:rsidR="006219D5" w:rsidRPr="006219D5">
        <w:rPr>
          <w:rFonts w:cs="Arial"/>
        </w:rPr>
        <w:t xml:space="preserve">tate </w:t>
      </w:r>
      <w:r w:rsidR="00377BA1">
        <w:rPr>
          <w:rFonts w:cs="Arial"/>
        </w:rPr>
        <w:t xml:space="preserve">or locality </w:t>
      </w:r>
      <w:r w:rsidR="006219D5" w:rsidRPr="006219D5">
        <w:rPr>
          <w:rFonts w:cs="Arial"/>
        </w:rPr>
        <w:t xml:space="preserve">that has decriminalized either or both </w:t>
      </w:r>
      <w:r w:rsidR="0066343A">
        <w:rPr>
          <w:rFonts w:cs="Arial"/>
        </w:rPr>
        <w:t xml:space="preserve">such </w:t>
      </w:r>
      <w:r w:rsidR="006219D5" w:rsidRPr="006219D5">
        <w:rPr>
          <w:rFonts w:cs="Arial"/>
        </w:rPr>
        <w:t>uses</w:t>
      </w:r>
      <w:r w:rsidR="00324732">
        <w:rPr>
          <w:rFonts w:cs="Arial"/>
        </w:rPr>
        <w:t xml:space="preserve">. </w:t>
      </w:r>
      <w:r w:rsidR="00397A54">
        <w:rPr>
          <w:rFonts w:cs="Arial"/>
        </w:rPr>
        <w:t xml:space="preserve">21 U.S.C. </w:t>
      </w:r>
      <w:r w:rsidR="009267E1">
        <w:rPr>
          <w:rFonts w:cs="Arial"/>
        </w:rPr>
        <w:t xml:space="preserve">812(c)(17), </w:t>
      </w:r>
      <w:r w:rsidR="00397A54">
        <w:rPr>
          <w:rFonts w:cs="Arial"/>
        </w:rPr>
        <w:t>843(b)</w:t>
      </w:r>
      <w:r w:rsidR="00216769">
        <w:rPr>
          <w:rFonts w:cs="Arial"/>
        </w:rPr>
        <w:t>; Publication 52</w:t>
      </w:r>
      <w:r w:rsidR="00E56CA9">
        <w:rPr>
          <w:rFonts w:cs="Arial"/>
        </w:rPr>
        <w:t xml:space="preserve"> section </w:t>
      </w:r>
      <w:r w:rsidR="00A32D2C">
        <w:rPr>
          <w:rFonts w:cs="Arial"/>
        </w:rPr>
        <w:t xml:space="preserve">453. </w:t>
      </w:r>
      <w:r w:rsidR="00A749FB">
        <w:rPr>
          <w:rFonts w:cs="Arial"/>
        </w:rPr>
        <w:t xml:space="preserve">Devices, parts, components, and accessories used with such </w:t>
      </w:r>
      <w:r w:rsidR="00E1548D">
        <w:rPr>
          <w:rFonts w:cs="Arial"/>
        </w:rPr>
        <w:t xml:space="preserve">substances </w:t>
      </w:r>
      <w:r w:rsidR="000F5ADC">
        <w:rPr>
          <w:rFonts w:cs="Arial"/>
        </w:rPr>
        <w:t xml:space="preserve">can qualify as drug paraphernalia, which is likewise nonmailable. 21 U.S.C. </w:t>
      </w:r>
      <w:r w:rsidR="00C333A6">
        <w:rPr>
          <w:rFonts w:cs="Arial"/>
        </w:rPr>
        <w:t xml:space="preserve">863; Publication 52 </w:t>
      </w:r>
      <w:r w:rsidR="00F83E55">
        <w:rPr>
          <w:rFonts w:cs="Arial"/>
        </w:rPr>
        <w:t xml:space="preserve">part </w:t>
      </w:r>
      <w:r w:rsidR="00C333A6">
        <w:rPr>
          <w:rFonts w:cs="Arial"/>
        </w:rPr>
        <w:t>453.</w:t>
      </w:r>
      <w:r w:rsidR="00E66C53">
        <w:rPr>
          <w:rFonts w:cs="Arial"/>
        </w:rPr>
        <w:t xml:space="preserve"> The only exceptions to this mailing ban are for hemp and hemp derivatives that contain no more than 0.3</w:t>
      </w:r>
      <w:r w:rsidR="00802745">
        <w:rPr>
          <w:rFonts w:cs="Arial"/>
        </w:rPr>
        <w:t> percent THC by dry weight.</w:t>
      </w:r>
      <w:r w:rsidR="00D86724">
        <w:rPr>
          <w:rFonts w:cs="Arial"/>
        </w:rPr>
        <w:t xml:space="preserve"> </w:t>
      </w:r>
      <w:r w:rsidR="00D86724" w:rsidRPr="005E6248">
        <w:rPr>
          <w:rFonts w:cs="Arial"/>
        </w:rPr>
        <w:t>See</w:t>
      </w:r>
      <w:r w:rsidR="00D86724" w:rsidRPr="00AF27CF">
        <w:rPr>
          <w:rFonts w:cs="Arial"/>
        </w:rPr>
        <w:t xml:space="preserve"> </w:t>
      </w:r>
      <w:r w:rsidR="00D86724">
        <w:t>Publication 52 section 453.37.</w:t>
      </w:r>
    </w:p>
    <w:p w14:paraId="3E45DB3D" w14:textId="59139FBE" w:rsidR="003A2730" w:rsidRDefault="006F3861" w:rsidP="00E542D9">
      <w:pPr>
        <w:shd w:val="clear" w:color="auto" w:fill="FFFFFF"/>
        <w:ind w:firstLine="720"/>
        <w:rPr>
          <w:rFonts w:cs="Arial"/>
        </w:rPr>
      </w:pPr>
      <w:r>
        <w:rPr>
          <w:rFonts w:cs="Arial"/>
        </w:rPr>
        <w:t xml:space="preserve">Thus, </w:t>
      </w:r>
      <w:r w:rsidR="00667D91">
        <w:rPr>
          <w:rFonts w:cs="Arial"/>
        </w:rPr>
        <w:t>ENDS</w:t>
      </w:r>
      <w:r w:rsidR="00190979">
        <w:rPr>
          <w:rFonts w:cs="Arial"/>
        </w:rPr>
        <w:t xml:space="preserve"> products</w:t>
      </w:r>
      <w:r w:rsidR="002B6EA0">
        <w:rPr>
          <w:rFonts w:cs="Arial"/>
        </w:rPr>
        <w:t xml:space="preserve"> containing or used with THC</w:t>
      </w:r>
      <w:r w:rsidR="00FD0EC3">
        <w:rPr>
          <w:rFonts w:cs="Arial"/>
        </w:rPr>
        <w:t xml:space="preserve"> (</w:t>
      </w:r>
      <w:r w:rsidR="00A162B8">
        <w:rPr>
          <w:rFonts w:cs="Arial"/>
        </w:rPr>
        <w:t>e.g., THC-containing liquids, cannabis waxes, dry cannabis</w:t>
      </w:r>
      <w:r w:rsidR="00434CD4">
        <w:rPr>
          <w:rFonts w:cs="Arial"/>
        </w:rPr>
        <w:t xml:space="preserve"> herbal matter)</w:t>
      </w:r>
      <w:r w:rsidR="002B6EA0">
        <w:rPr>
          <w:rFonts w:cs="Arial"/>
        </w:rPr>
        <w:t xml:space="preserve"> are already nonmailable</w:t>
      </w:r>
      <w:r w:rsidR="00CD51E0">
        <w:rPr>
          <w:rFonts w:cs="Arial"/>
        </w:rPr>
        <w:t xml:space="preserve"> under the CSA</w:t>
      </w:r>
      <w:r w:rsidR="007F7166">
        <w:rPr>
          <w:rFonts w:cs="Arial"/>
        </w:rPr>
        <w:t>.</w:t>
      </w:r>
      <w:r w:rsidR="00AD35D7">
        <w:rPr>
          <w:rFonts w:cs="Arial"/>
        </w:rPr>
        <w:t xml:space="preserve"> </w:t>
      </w:r>
      <w:r w:rsidR="00EB7F90">
        <w:rPr>
          <w:rFonts w:cs="Arial"/>
        </w:rPr>
        <w:t xml:space="preserve">Congress’s decision to keep such items out of the Federal postal </w:t>
      </w:r>
      <w:r w:rsidR="00CA437E">
        <w:rPr>
          <w:rFonts w:cs="Arial"/>
        </w:rPr>
        <w:t xml:space="preserve">network </w:t>
      </w:r>
      <w:r w:rsidR="00FB40EE">
        <w:rPr>
          <w:rFonts w:cs="Arial"/>
        </w:rPr>
        <w:t>does not bear on whether their use or exchange violates State or local law.</w:t>
      </w:r>
      <w:r w:rsidR="00FD3A37">
        <w:rPr>
          <w:rFonts w:cs="Arial"/>
        </w:rPr>
        <w:t xml:space="preserve"> Nor does it alter whether the Department of Justice</w:t>
      </w:r>
      <w:r w:rsidR="004B5185">
        <w:rPr>
          <w:rFonts w:cs="Arial"/>
        </w:rPr>
        <w:t>—</w:t>
      </w:r>
      <w:r w:rsidR="00FD3A37">
        <w:rPr>
          <w:rFonts w:cs="Arial"/>
        </w:rPr>
        <w:t>a Federal entity independent of the Postal Service</w:t>
      </w:r>
      <w:r w:rsidR="004B5185">
        <w:rPr>
          <w:rFonts w:cs="Arial"/>
        </w:rPr>
        <w:t>—</w:t>
      </w:r>
      <w:r w:rsidR="00FD3A37">
        <w:rPr>
          <w:rFonts w:cs="Arial"/>
        </w:rPr>
        <w:t>may use its appropriated funds to interfere with the operation of State or local laws.</w:t>
      </w:r>
    </w:p>
    <w:p w14:paraId="297858DC" w14:textId="24C8B378" w:rsidR="006F3861" w:rsidRDefault="00811542" w:rsidP="00E542D9">
      <w:pPr>
        <w:shd w:val="clear" w:color="auto" w:fill="FFFFFF"/>
        <w:ind w:firstLine="720"/>
        <w:rPr>
          <w:rFonts w:cs="Arial"/>
        </w:rPr>
      </w:pPr>
      <w:r>
        <w:rPr>
          <w:rFonts w:cs="Arial"/>
        </w:rPr>
        <w:t xml:space="preserve">For clarity, </w:t>
      </w:r>
      <w:r w:rsidR="00A92486">
        <w:rPr>
          <w:rFonts w:cs="Arial"/>
        </w:rPr>
        <w:t xml:space="preserve">even if a shipper </w:t>
      </w:r>
      <w:r w:rsidR="00D07163">
        <w:rPr>
          <w:rFonts w:cs="Arial"/>
        </w:rPr>
        <w:t>could avail itself of a PACT Act exemption with respect to ENDS products</w:t>
      </w:r>
      <w:r w:rsidR="007A10A2">
        <w:t xml:space="preserve"> generally</w:t>
      </w:r>
      <w:r w:rsidR="00D07163">
        <w:rPr>
          <w:rFonts w:cs="Arial"/>
        </w:rPr>
        <w:t xml:space="preserve">, </w:t>
      </w:r>
      <w:r w:rsidR="007C1C80">
        <w:rPr>
          <w:rFonts w:cs="Arial"/>
        </w:rPr>
        <w:t xml:space="preserve">the shipper is still prohibited from </w:t>
      </w:r>
      <w:r w:rsidR="003A2730">
        <w:rPr>
          <w:rFonts w:cs="Arial"/>
        </w:rPr>
        <w:t xml:space="preserve">mailing </w:t>
      </w:r>
      <w:r w:rsidR="00834419">
        <w:rPr>
          <w:rFonts w:cs="Arial"/>
        </w:rPr>
        <w:t xml:space="preserve">ENDS products that </w:t>
      </w:r>
      <w:r w:rsidR="006B3BA2">
        <w:rPr>
          <w:rFonts w:cs="Arial"/>
        </w:rPr>
        <w:t>contain THC (other than hemp derivatives with no more than 0.3 percent THC by dry weight)</w:t>
      </w:r>
      <w:r w:rsidR="00834419">
        <w:rPr>
          <w:rFonts w:cs="Arial"/>
        </w:rPr>
        <w:t>.</w:t>
      </w:r>
      <w:r w:rsidR="00BE355B">
        <w:rPr>
          <w:rFonts w:cs="Arial"/>
        </w:rPr>
        <w:t xml:space="preserve"> </w:t>
      </w:r>
      <w:r w:rsidR="00345580">
        <w:rPr>
          <w:rFonts w:cs="Arial"/>
        </w:rPr>
        <w:t xml:space="preserve">Nor does the </w:t>
      </w:r>
      <w:r w:rsidR="00CD3537">
        <w:rPr>
          <w:rFonts w:cs="Arial"/>
        </w:rPr>
        <w:t xml:space="preserve">lack of </w:t>
      </w:r>
      <w:r w:rsidR="00630A84">
        <w:rPr>
          <w:rFonts w:cs="Arial"/>
        </w:rPr>
        <w:t xml:space="preserve">civil or criminal </w:t>
      </w:r>
      <w:r w:rsidR="00520CF7">
        <w:rPr>
          <w:rFonts w:cs="Arial"/>
        </w:rPr>
        <w:t xml:space="preserve">sanction </w:t>
      </w:r>
      <w:r w:rsidR="00986092">
        <w:rPr>
          <w:rFonts w:cs="Arial"/>
        </w:rPr>
        <w:t xml:space="preserve">under State or local law </w:t>
      </w:r>
      <w:r w:rsidR="00C41168">
        <w:rPr>
          <w:rFonts w:cs="Arial"/>
        </w:rPr>
        <w:t xml:space="preserve">entitle any person to </w:t>
      </w:r>
      <w:r w:rsidR="00AB43E9">
        <w:rPr>
          <w:rFonts w:cs="Arial"/>
        </w:rPr>
        <w:t xml:space="preserve">ship </w:t>
      </w:r>
      <w:r w:rsidR="007131AC">
        <w:rPr>
          <w:rFonts w:cs="Arial"/>
        </w:rPr>
        <w:t xml:space="preserve">THC </w:t>
      </w:r>
      <w:r w:rsidR="00AB43E9">
        <w:rPr>
          <w:rFonts w:cs="Arial"/>
        </w:rPr>
        <w:t xml:space="preserve">through </w:t>
      </w:r>
      <w:r w:rsidR="00986092">
        <w:rPr>
          <w:rFonts w:cs="Arial"/>
        </w:rPr>
        <w:t>the Federal postal network</w:t>
      </w:r>
      <w:r w:rsidR="003C59F5">
        <w:rPr>
          <w:rFonts w:cs="Arial"/>
        </w:rPr>
        <w:t xml:space="preserve"> or absolve them of penalties under Federal law</w:t>
      </w:r>
      <w:r w:rsidR="00AD4CF1">
        <w:rPr>
          <w:rFonts w:cs="Arial"/>
        </w:rPr>
        <w:t xml:space="preserve">, so long as the Federal CSA remains </w:t>
      </w:r>
      <w:r w:rsidR="0058286A">
        <w:rPr>
          <w:rFonts w:cs="Arial"/>
        </w:rPr>
        <w:t>applicable</w:t>
      </w:r>
      <w:r w:rsidR="00944D45">
        <w:rPr>
          <w:rFonts w:cs="Arial"/>
        </w:rPr>
        <w:t>.</w:t>
      </w:r>
    </w:p>
    <w:p w14:paraId="5DA9CC7C" w14:textId="74791E2F" w:rsidR="00E72680" w:rsidRDefault="005D5BBF" w:rsidP="00E542D9">
      <w:pPr>
        <w:shd w:val="clear" w:color="auto" w:fill="FFFFFF"/>
        <w:ind w:firstLine="720"/>
        <w:rPr>
          <w:rFonts w:cs="Arial"/>
        </w:rPr>
      </w:pPr>
      <w:r>
        <w:rPr>
          <w:rFonts w:cs="Arial"/>
        </w:rPr>
        <w:lastRenderedPageBreak/>
        <w:t xml:space="preserve">Conversely, THC-containing </w:t>
      </w:r>
      <w:r w:rsidR="00520A7F">
        <w:rPr>
          <w:rFonts w:cs="Arial"/>
        </w:rPr>
        <w:t>substances that are excluded from the CSA</w:t>
      </w:r>
      <w:r w:rsidR="003C59F5">
        <w:rPr>
          <w:rFonts w:cs="Arial"/>
        </w:rPr>
        <w:t>—</w:t>
      </w:r>
      <w:r w:rsidR="00520A7F">
        <w:rPr>
          <w:rFonts w:cs="Arial"/>
        </w:rPr>
        <w:t>that is, hemp and hemp derivatives with no more than 0.3 percent THC by dry weight</w:t>
      </w:r>
      <w:r w:rsidR="003C59F5">
        <w:rPr>
          <w:rFonts w:cs="Arial"/>
        </w:rPr>
        <w:t>—</w:t>
      </w:r>
      <w:r w:rsidR="00993942">
        <w:rPr>
          <w:rFonts w:cs="Arial"/>
        </w:rPr>
        <w:t xml:space="preserve">are </w:t>
      </w:r>
      <w:r w:rsidR="00675CBA">
        <w:rPr>
          <w:rFonts w:cs="Arial"/>
        </w:rPr>
        <w:t xml:space="preserve">not subject to CSA-based </w:t>
      </w:r>
      <w:r w:rsidR="00D52151">
        <w:rPr>
          <w:rFonts w:cs="Arial"/>
        </w:rPr>
        <w:t xml:space="preserve">mailability restrictions, and </w:t>
      </w:r>
      <w:r w:rsidR="00D43CAF">
        <w:rPr>
          <w:rFonts w:cs="Arial"/>
        </w:rPr>
        <w:t xml:space="preserve">items used with such substances (and not with controlled substances) </w:t>
      </w:r>
      <w:r w:rsidR="001960D4">
        <w:rPr>
          <w:rFonts w:cs="Arial"/>
        </w:rPr>
        <w:t>may fall outside the definition of drug paraphernalia. Publication 52 section 453.</w:t>
      </w:r>
      <w:r w:rsidR="00C561FE">
        <w:rPr>
          <w:rFonts w:cs="Arial"/>
        </w:rPr>
        <w:t xml:space="preserve">37. </w:t>
      </w:r>
      <w:r w:rsidR="00B67DF8">
        <w:rPr>
          <w:rFonts w:cs="Arial"/>
        </w:rPr>
        <w:t xml:space="preserve">As such, those substances continue to be mailable generally, to the extent that they are not incorporated into </w:t>
      </w:r>
      <w:r w:rsidR="00B265FD">
        <w:rPr>
          <w:rFonts w:cs="Arial"/>
        </w:rPr>
        <w:t xml:space="preserve">an ENDS product or function as a </w:t>
      </w:r>
      <w:r w:rsidR="00B67DF8">
        <w:rPr>
          <w:rFonts w:cs="Arial"/>
        </w:rPr>
        <w:t xml:space="preserve">component of </w:t>
      </w:r>
      <w:r w:rsidR="00B265FD">
        <w:rPr>
          <w:rFonts w:cs="Arial"/>
        </w:rPr>
        <w:t>one</w:t>
      </w:r>
      <w:r w:rsidR="00B67DF8">
        <w:rPr>
          <w:rFonts w:cs="Arial"/>
        </w:rPr>
        <w:t xml:space="preserve">. </w:t>
      </w:r>
      <w:r w:rsidR="00ED4BB6">
        <w:rPr>
          <w:rFonts w:cs="Arial"/>
        </w:rPr>
        <w:t xml:space="preserve">To the extent that they </w:t>
      </w:r>
      <w:r w:rsidR="00111F52">
        <w:rPr>
          <w:rFonts w:cs="Arial"/>
        </w:rPr>
        <w:t>do comprise or relate to</w:t>
      </w:r>
      <w:r w:rsidR="00B265FD">
        <w:rPr>
          <w:rFonts w:cs="Arial"/>
        </w:rPr>
        <w:t xml:space="preserve"> an ENDS product</w:t>
      </w:r>
      <w:r w:rsidR="00ED4BB6">
        <w:rPr>
          <w:rFonts w:cs="Arial"/>
        </w:rPr>
        <w:t xml:space="preserve">, however, then </w:t>
      </w:r>
      <w:r w:rsidR="0013222A">
        <w:rPr>
          <w:rFonts w:cs="Arial"/>
        </w:rPr>
        <w:t xml:space="preserve">that product is </w:t>
      </w:r>
      <w:r w:rsidR="00ED4BB6">
        <w:rPr>
          <w:rFonts w:cs="Arial"/>
        </w:rPr>
        <w:t>now nonmailable</w:t>
      </w:r>
      <w:r w:rsidR="00315396">
        <w:rPr>
          <w:rFonts w:cs="Arial"/>
        </w:rPr>
        <w:t xml:space="preserve"> under the PACT Act</w:t>
      </w:r>
      <w:r w:rsidR="0063553F">
        <w:rPr>
          <w:rFonts w:cs="Arial"/>
        </w:rPr>
        <w:t xml:space="preserve"> and POSECCA</w:t>
      </w:r>
      <w:r w:rsidR="00036EEF">
        <w:rPr>
          <w:rFonts w:cs="Arial"/>
        </w:rPr>
        <w:t xml:space="preserve">, except </w:t>
      </w:r>
      <w:r w:rsidR="00B265FD">
        <w:rPr>
          <w:rFonts w:cs="Arial"/>
        </w:rPr>
        <w:t xml:space="preserve">pursuant to </w:t>
      </w:r>
      <w:r w:rsidR="00036EEF">
        <w:rPr>
          <w:rFonts w:cs="Arial"/>
        </w:rPr>
        <w:t>a</w:t>
      </w:r>
      <w:r w:rsidR="00B265FD">
        <w:rPr>
          <w:rFonts w:cs="Arial"/>
        </w:rPr>
        <w:t xml:space="preserve"> PACT Act</w:t>
      </w:r>
      <w:r w:rsidR="00036EEF">
        <w:rPr>
          <w:rFonts w:cs="Arial"/>
        </w:rPr>
        <w:t xml:space="preserve"> exception.</w:t>
      </w:r>
    </w:p>
    <w:p w14:paraId="742E7DB1" w14:textId="0DFE9466" w:rsidR="00035402" w:rsidRDefault="00035402" w:rsidP="00035402">
      <w:pPr>
        <w:shd w:val="clear" w:color="auto" w:fill="FFFFFF"/>
        <w:ind w:firstLine="720"/>
        <w:rPr>
          <w:rFonts w:cs="Arial"/>
        </w:rPr>
      </w:pPr>
      <w:r>
        <w:rPr>
          <w:rFonts w:cs="Arial"/>
        </w:rPr>
        <w:t xml:space="preserve">The </w:t>
      </w:r>
      <w:r w:rsidR="006121B5">
        <w:rPr>
          <w:rFonts w:cs="Arial"/>
        </w:rPr>
        <w:t xml:space="preserve">POSECCA </w:t>
      </w:r>
      <w:r w:rsidR="00455786">
        <w:rPr>
          <w:rFonts w:cs="Arial"/>
        </w:rPr>
        <w:t xml:space="preserve">and the </w:t>
      </w:r>
      <w:r w:rsidR="00F83E55">
        <w:rPr>
          <w:rFonts w:cs="Arial"/>
        </w:rPr>
        <w:t>Agriculture Improvement</w:t>
      </w:r>
      <w:r w:rsidR="00455786">
        <w:rPr>
          <w:rFonts w:cs="Arial"/>
        </w:rPr>
        <w:t xml:space="preserve"> Act </w:t>
      </w:r>
      <w:r w:rsidR="00C1575C">
        <w:rPr>
          <w:rFonts w:cs="Arial"/>
        </w:rPr>
        <w:t xml:space="preserve">overlap, but they do not </w:t>
      </w:r>
      <w:r w:rsidR="00455786">
        <w:rPr>
          <w:rFonts w:cs="Arial"/>
        </w:rPr>
        <w:t xml:space="preserve">conflict. The </w:t>
      </w:r>
      <w:r w:rsidR="00F83E55">
        <w:rPr>
          <w:rFonts w:cs="Arial"/>
        </w:rPr>
        <w:t xml:space="preserve">Agriculture Improvement </w:t>
      </w:r>
      <w:r w:rsidR="00455786">
        <w:rPr>
          <w:rFonts w:cs="Arial"/>
        </w:rPr>
        <w:t>Act merely excludes certain products from the CSA</w:t>
      </w:r>
      <w:r w:rsidR="003C5468">
        <w:rPr>
          <w:rFonts w:cs="Arial"/>
        </w:rPr>
        <w:t>. I</w:t>
      </w:r>
      <w:r w:rsidR="00455786">
        <w:rPr>
          <w:rFonts w:cs="Arial"/>
        </w:rPr>
        <w:t>t does not affirmatively declare hemp and hemp derivatives to be mailable</w:t>
      </w:r>
      <w:r w:rsidR="00647373">
        <w:rPr>
          <w:rFonts w:cs="Arial"/>
        </w:rPr>
        <w:t xml:space="preserve"> </w:t>
      </w:r>
      <w:r w:rsidR="00B265FD">
        <w:rPr>
          <w:rFonts w:cs="Arial"/>
        </w:rPr>
        <w:t xml:space="preserve">in </w:t>
      </w:r>
      <w:proofErr w:type="gramStart"/>
      <w:r w:rsidR="00B265FD">
        <w:rPr>
          <w:rFonts w:cs="Arial"/>
        </w:rPr>
        <w:t>any and all</w:t>
      </w:r>
      <w:proofErr w:type="gramEnd"/>
      <w:r w:rsidR="00B265FD">
        <w:rPr>
          <w:rFonts w:cs="Arial"/>
        </w:rPr>
        <w:t xml:space="preserve"> circumstances</w:t>
      </w:r>
      <w:r w:rsidR="003C5468">
        <w:rPr>
          <w:rFonts w:cs="Arial"/>
        </w:rPr>
        <w:t xml:space="preserve">, </w:t>
      </w:r>
      <w:r w:rsidR="007E1623">
        <w:rPr>
          <w:rFonts w:cs="Arial"/>
        </w:rPr>
        <w:t xml:space="preserve">superseding all </w:t>
      </w:r>
      <w:r w:rsidR="003C5468">
        <w:rPr>
          <w:rFonts w:cs="Arial"/>
        </w:rPr>
        <w:t xml:space="preserve">other </w:t>
      </w:r>
      <w:r w:rsidR="007E1623">
        <w:rPr>
          <w:rFonts w:cs="Arial"/>
        </w:rPr>
        <w:t xml:space="preserve">relevant </w:t>
      </w:r>
      <w:r w:rsidR="003C5468">
        <w:rPr>
          <w:rFonts w:cs="Arial"/>
        </w:rPr>
        <w:t>laws</w:t>
      </w:r>
      <w:r w:rsidR="00123102">
        <w:rPr>
          <w:rFonts w:cs="Arial"/>
        </w:rPr>
        <w:t xml:space="preserve"> (such as the POSECCA)</w:t>
      </w:r>
      <w:r w:rsidR="00E837C0">
        <w:rPr>
          <w:rFonts w:cs="Arial"/>
        </w:rPr>
        <w:t>.</w:t>
      </w:r>
      <w:r w:rsidR="00F04ADE">
        <w:rPr>
          <w:rFonts w:cs="Arial"/>
        </w:rPr>
        <w:t xml:space="preserve"> </w:t>
      </w:r>
      <w:r w:rsidR="006121B5">
        <w:rPr>
          <w:rFonts w:cs="Arial"/>
        </w:rPr>
        <w:t xml:space="preserve">For its part, the POSECCA </w:t>
      </w:r>
      <w:r w:rsidR="00713934">
        <w:rPr>
          <w:rFonts w:cs="Arial"/>
        </w:rPr>
        <w:t xml:space="preserve">restricts the mailability of only certain </w:t>
      </w:r>
      <w:r w:rsidR="00B94B9A">
        <w:rPr>
          <w:rFonts w:cs="Arial"/>
        </w:rPr>
        <w:t xml:space="preserve">hemp-based </w:t>
      </w:r>
      <w:r w:rsidR="005C3662">
        <w:rPr>
          <w:rFonts w:cs="Arial"/>
        </w:rPr>
        <w:t xml:space="preserve">and related </w:t>
      </w:r>
      <w:r w:rsidR="00B94B9A">
        <w:rPr>
          <w:rFonts w:cs="Arial"/>
        </w:rPr>
        <w:t>products</w:t>
      </w:r>
      <w:r w:rsidR="009D28C8">
        <w:rPr>
          <w:rFonts w:cs="Arial"/>
        </w:rPr>
        <w:t xml:space="preserve">; </w:t>
      </w:r>
      <w:r w:rsidR="00A06056">
        <w:rPr>
          <w:rFonts w:cs="Arial"/>
        </w:rPr>
        <w:t xml:space="preserve">hemp-based </w:t>
      </w:r>
      <w:r w:rsidR="003767AC">
        <w:rPr>
          <w:rFonts w:cs="Arial"/>
        </w:rPr>
        <w:t xml:space="preserve">non-ENDS </w:t>
      </w:r>
      <w:r w:rsidR="008674EE">
        <w:rPr>
          <w:rFonts w:cs="Arial"/>
        </w:rPr>
        <w:t xml:space="preserve">products </w:t>
      </w:r>
      <w:r w:rsidR="00A06056">
        <w:rPr>
          <w:rFonts w:cs="Arial"/>
        </w:rPr>
        <w:t>are unaffected</w:t>
      </w:r>
      <w:r w:rsidR="001B1B16">
        <w:rPr>
          <w:rFonts w:cs="Arial"/>
        </w:rPr>
        <w:t>, as are ENDS products falling within one of the PACT Act’s exceptions</w:t>
      </w:r>
      <w:r w:rsidR="00A06056">
        <w:rPr>
          <w:rFonts w:cs="Arial"/>
        </w:rPr>
        <w:t>.</w:t>
      </w:r>
      <w:r w:rsidR="00E832A0">
        <w:rPr>
          <w:rFonts w:cs="Arial"/>
        </w:rPr>
        <w:t xml:space="preserve"> </w:t>
      </w:r>
      <w:r w:rsidR="007E38C8">
        <w:rPr>
          <w:rFonts w:cs="Arial"/>
        </w:rPr>
        <w:t>That Congress has rendered some subset of a class of goods to be nonmailable while leaving the remainder mailable is</w:t>
      </w:r>
      <w:r w:rsidR="00EB22FF">
        <w:rPr>
          <w:rFonts w:cs="Arial"/>
        </w:rPr>
        <w:t xml:space="preserve"> </w:t>
      </w:r>
      <w:r w:rsidR="001D47DD">
        <w:rPr>
          <w:rFonts w:cs="Arial"/>
        </w:rPr>
        <w:t xml:space="preserve">not </w:t>
      </w:r>
      <w:r w:rsidR="008F1FFB">
        <w:rPr>
          <w:rFonts w:cs="Arial"/>
        </w:rPr>
        <w:t>some sort of legal conflict, but</w:t>
      </w:r>
      <w:r w:rsidR="007E1623">
        <w:rPr>
          <w:rFonts w:cs="Arial"/>
        </w:rPr>
        <w:t>, rather,</w:t>
      </w:r>
      <w:r w:rsidR="008F1FFB">
        <w:rPr>
          <w:rFonts w:cs="Arial"/>
        </w:rPr>
        <w:t xml:space="preserve"> </w:t>
      </w:r>
      <w:r w:rsidR="00065D5C">
        <w:rPr>
          <w:rFonts w:cs="Arial"/>
        </w:rPr>
        <w:t xml:space="preserve">how </w:t>
      </w:r>
      <w:r w:rsidR="00F777A9">
        <w:rPr>
          <w:rFonts w:cs="Arial"/>
        </w:rPr>
        <w:t xml:space="preserve">mailability </w:t>
      </w:r>
      <w:r w:rsidR="00EB22FF">
        <w:rPr>
          <w:rFonts w:cs="Arial"/>
        </w:rPr>
        <w:t xml:space="preserve">regulation </w:t>
      </w:r>
      <w:r w:rsidR="00F17D29">
        <w:rPr>
          <w:rFonts w:cs="Arial"/>
        </w:rPr>
        <w:t xml:space="preserve">typically </w:t>
      </w:r>
      <w:r w:rsidR="00EB22FF">
        <w:rPr>
          <w:rFonts w:cs="Arial"/>
        </w:rPr>
        <w:t>works</w:t>
      </w:r>
      <w:r w:rsidR="00221EF6">
        <w:rPr>
          <w:rFonts w:cs="Arial"/>
        </w:rPr>
        <w:t>.</w:t>
      </w:r>
    </w:p>
    <w:p w14:paraId="6652976B" w14:textId="7C435107" w:rsidR="000966E7" w:rsidRPr="000D3A79" w:rsidRDefault="001F2D7E" w:rsidP="000D3A79">
      <w:pPr>
        <w:ind w:left="720" w:firstLine="720"/>
        <w:rPr>
          <w:b/>
          <w:bCs/>
        </w:rPr>
      </w:pPr>
      <w:r w:rsidRPr="000D3A79">
        <w:rPr>
          <w:b/>
          <w:bCs/>
        </w:rPr>
        <w:t>3.</w:t>
      </w:r>
      <w:r w:rsidRPr="000D3A79">
        <w:rPr>
          <w:b/>
          <w:bCs/>
        </w:rPr>
        <w:tab/>
      </w:r>
      <w:bookmarkStart w:id="16" w:name="_Toc79569803"/>
      <w:r w:rsidR="00656503" w:rsidRPr="000D3A79">
        <w:rPr>
          <w:b/>
          <w:bCs/>
        </w:rPr>
        <w:t>Other Issues</w:t>
      </w:r>
      <w:bookmarkEnd w:id="16"/>
    </w:p>
    <w:p w14:paraId="4B168181" w14:textId="6587DB3F" w:rsidR="00020468" w:rsidRDefault="009D1366" w:rsidP="00172E6A">
      <w:pPr>
        <w:shd w:val="clear" w:color="auto" w:fill="FFFFFF"/>
        <w:ind w:firstLine="720"/>
        <w:rPr>
          <w:rFonts w:cs="Arial"/>
        </w:rPr>
      </w:pPr>
      <w:r>
        <w:rPr>
          <w:rFonts w:cs="Arial"/>
        </w:rPr>
        <w:t xml:space="preserve">Certain </w:t>
      </w:r>
      <w:r w:rsidR="003F65AA">
        <w:rPr>
          <w:rFonts w:cs="Arial"/>
        </w:rPr>
        <w:t xml:space="preserve">ENDS industry </w:t>
      </w:r>
      <w:r w:rsidR="003F65AA" w:rsidRPr="003F65AA">
        <w:rPr>
          <w:rFonts w:cs="Arial"/>
        </w:rPr>
        <w:t>commenter</w:t>
      </w:r>
      <w:r>
        <w:rPr>
          <w:rFonts w:cs="Arial"/>
        </w:rPr>
        <w:t>s</w:t>
      </w:r>
      <w:r w:rsidR="003F65AA" w:rsidRPr="003F65AA">
        <w:rPr>
          <w:rFonts w:cs="Arial"/>
        </w:rPr>
        <w:t xml:space="preserve"> argued that the </w:t>
      </w:r>
      <w:r w:rsidR="006748A8">
        <w:rPr>
          <w:rFonts w:cs="Arial"/>
        </w:rPr>
        <w:t xml:space="preserve">PACT Act </w:t>
      </w:r>
      <w:r w:rsidR="00773E83">
        <w:rPr>
          <w:rFonts w:cs="Arial"/>
        </w:rPr>
        <w:t xml:space="preserve">should not apply </w:t>
      </w:r>
      <w:r w:rsidR="003F65AA" w:rsidRPr="003F65AA">
        <w:rPr>
          <w:rFonts w:cs="Arial"/>
        </w:rPr>
        <w:t>to non-nicotine</w:t>
      </w:r>
      <w:r w:rsidR="00045652">
        <w:rPr>
          <w:rFonts w:cs="Arial"/>
        </w:rPr>
        <w:t>-related</w:t>
      </w:r>
      <w:r w:rsidR="003F65AA" w:rsidRPr="003F65AA">
        <w:rPr>
          <w:rFonts w:cs="Arial"/>
        </w:rPr>
        <w:t xml:space="preserve"> </w:t>
      </w:r>
      <w:r w:rsidR="00FB566E">
        <w:rPr>
          <w:rFonts w:cs="Arial"/>
        </w:rPr>
        <w:t xml:space="preserve">ENDS products </w:t>
      </w:r>
      <w:r w:rsidR="007F2B4A">
        <w:rPr>
          <w:rFonts w:cs="Arial"/>
        </w:rPr>
        <w:t xml:space="preserve">to avoid </w:t>
      </w:r>
      <w:r w:rsidR="00773E83">
        <w:rPr>
          <w:rFonts w:cs="Arial"/>
        </w:rPr>
        <w:t xml:space="preserve">conflicts </w:t>
      </w:r>
      <w:r w:rsidR="003F65AA" w:rsidRPr="003F65AA">
        <w:rPr>
          <w:rFonts w:cs="Arial"/>
        </w:rPr>
        <w:t xml:space="preserve">with </w:t>
      </w:r>
      <w:r w:rsidR="00DD54B9">
        <w:rPr>
          <w:rFonts w:cs="Arial"/>
        </w:rPr>
        <w:t>S</w:t>
      </w:r>
      <w:r w:rsidR="003F65AA" w:rsidRPr="003F65AA">
        <w:rPr>
          <w:rFonts w:cs="Arial"/>
        </w:rPr>
        <w:t xml:space="preserve">tate </w:t>
      </w:r>
      <w:r w:rsidR="00DD54B9">
        <w:rPr>
          <w:rFonts w:cs="Arial"/>
        </w:rPr>
        <w:t xml:space="preserve">and </w:t>
      </w:r>
      <w:r w:rsidR="00DD54B9">
        <w:rPr>
          <w:rFonts w:cs="Arial"/>
        </w:rPr>
        <w:lastRenderedPageBreak/>
        <w:t xml:space="preserve">local </w:t>
      </w:r>
      <w:r w:rsidR="00C83A92">
        <w:rPr>
          <w:rFonts w:cs="Arial"/>
        </w:rPr>
        <w:t>law</w:t>
      </w:r>
      <w:r w:rsidR="003F65AA" w:rsidRPr="003F65AA">
        <w:rPr>
          <w:rFonts w:cs="Arial"/>
        </w:rPr>
        <w:t>.</w:t>
      </w:r>
      <w:r w:rsidR="00773E83">
        <w:rPr>
          <w:rFonts w:cs="Arial"/>
        </w:rPr>
        <w:t xml:space="preserve"> Specifically, commenter</w:t>
      </w:r>
      <w:r w:rsidR="00B373A6">
        <w:rPr>
          <w:rFonts w:cs="Arial"/>
        </w:rPr>
        <w:t>s</w:t>
      </w:r>
      <w:r w:rsidR="00375018">
        <w:rPr>
          <w:rFonts w:cs="Arial"/>
        </w:rPr>
        <w:t xml:space="preserve"> asserted that the PACT Act requires manufacturers to </w:t>
      </w:r>
      <w:r w:rsidR="00032602">
        <w:rPr>
          <w:rFonts w:cs="Arial"/>
        </w:rPr>
        <w:t xml:space="preserve">register and </w:t>
      </w:r>
      <w:r w:rsidR="00375018">
        <w:rPr>
          <w:rFonts w:cs="Arial"/>
        </w:rPr>
        <w:t xml:space="preserve">certify </w:t>
      </w:r>
      <w:r w:rsidR="00032602">
        <w:rPr>
          <w:rFonts w:cs="Arial"/>
        </w:rPr>
        <w:t xml:space="preserve">tax </w:t>
      </w:r>
      <w:r w:rsidR="00375018">
        <w:rPr>
          <w:rFonts w:cs="Arial"/>
        </w:rPr>
        <w:t xml:space="preserve">compliance </w:t>
      </w:r>
      <w:r w:rsidR="00032602">
        <w:rPr>
          <w:rFonts w:cs="Arial"/>
        </w:rPr>
        <w:t xml:space="preserve">to </w:t>
      </w:r>
      <w:r w:rsidR="00375018">
        <w:rPr>
          <w:rFonts w:cs="Arial"/>
        </w:rPr>
        <w:t xml:space="preserve">State and local </w:t>
      </w:r>
      <w:r w:rsidR="00032602">
        <w:rPr>
          <w:rFonts w:cs="Arial"/>
        </w:rPr>
        <w:t>authorities</w:t>
      </w:r>
      <w:r w:rsidR="006837C6">
        <w:rPr>
          <w:rFonts w:cs="Arial"/>
        </w:rPr>
        <w:t xml:space="preserve">, yet some States and localities do not </w:t>
      </w:r>
      <w:r w:rsidR="00172E6A">
        <w:rPr>
          <w:rFonts w:cs="Arial"/>
        </w:rPr>
        <w:t xml:space="preserve">specially tax </w:t>
      </w:r>
      <w:r w:rsidR="00045652">
        <w:rPr>
          <w:rFonts w:cs="Arial"/>
        </w:rPr>
        <w:t>non-nicotine-related ENDS products</w:t>
      </w:r>
      <w:r w:rsidR="006837C6">
        <w:rPr>
          <w:rFonts w:cs="Arial"/>
        </w:rPr>
        <w:t>.</w:t>
      </w:r>
      <w:r w:rsidR="00B373A6">
        <w:rPr>
          <w:rFonts w:cs="Arial"/>
        </w:rPr>
        <w:t xml:space="preserve"> </w:t>
      </w:r>
      <w:r w:rsidR="003B6A85">
        <w:rPr>
          <w:rFonts w:cs="Arial"/>
        </w:rPr>
        <w:t xml:space="preserve">One cannabis industry coalition also </w:t>
      </w:r>
      <w:r w:rsidR="001E3F8A">
        <w:rPr>
          <w:rFonts w:cs="Arial"/>
        </w:rPr>
        <w:t xml:space="preserve">opined </w:t>
      </w:r>
      <w:r w:rsidR="003B6A85">
        <w:rPr>
          <w:rFonts w:cs="Arial"/>
        </w:rPr>
        <w:t xml:space="preserve">that </w:t>
      </w:r>
      <w:r w:rsidR="001E3F8A">
        <w:rPr>
          <w:rFonts w:cs="Arial"/>
        </w:rPr>
        <w:t>requirements to report consumer sales could violate State privacy laws.</w:t>
      </w:r>
      <w:r w:rsidR="00B664E2">
        <w:rPr>
          <w:rFonts w:cs="Arial"/>
        </w:rPr>
        <w:t xml:space="preserve"> Another complained that </w:t>
      </w:r>
      <w:r w:rsidR="00575E8E">
        <w:rPr>
          <w:rFonts w:cs="Arial"/>
        </w:rPr>
        <w:t>statutory labeling requirements regarding “nicotine” and “tobacco” are inapt for non-nicotine-related ENDS products.</w:t>
      </w:r>
    </w:p>
    <w:p w14:paraId="6D215235" w14:textId="379E7E25" w:rsidR="002C20D4" w:rsidRDefault="007469C7" w:rsidP="00B675D3">
      <w:pPr>
        <w:shd w:val="clear" w:color="auto" w:fill="FFFFFF"/>
        <w:ind w:firstLine="720"/>
        <w:rPr>
          <w:rFonts w:cs="Arial"/>
        </w:rPr>
      </w:pPr>
      <w:r>
        <w:rPr>
          <w:rFonts w:cs="Arial"/>
        </w:rPr>
        <w:t xml:space="preserve">Whatever their merit, these comments are </w:t>
      </w:r>
      <w:r w:rsidR="005C0613">
        <w:rPr>
          <w:rFonts w:cs="Arial"/>
        </w:rPr>
        <w:t>misdirected</w:t>
      </w:r>
      <w:r>
        <w:rPr>
          <w:rFonts w:cs="Arial"/>
        </w:rPr>
        <w:t xml:space="preserve">. </w:t>
      </w:r>
      <w:r w:rsidR="0059714D">
        <w:rPr>
          <w:rFonts w:cs="Arial"/>
        </w:rPr>
        <w:t xml:space="preserve">It is true that </w:t>
      </w:r>
      <w:r w:rsidR="002461EB">
        <w:rPr>
          <w:rFonts w:cs="Arial"/>
        </w:rPr>
        <w:t xml:space="preserve">section 2 </w:t>
      </w:r>
      <w:r w:rsidR="0059714D">
        <w:rPr>
          <w:rFonts w:cs="Arial"/>
        </w:rPr>
        <w:t>of the PACT Act amend</w:t>
      </w:r>
      <w:r w:rsidR="007D46F4">
        <w:rPr>
          <w:rFonts w:cs="Arial"/>
        </w:rPr>
        <w:t>ed</w:t>
      </w:r>
      <w:r w:rsidR="0059714D">
        <w:rPr>
          <w:rFonts w:cs="Arial"/>
        </w:rPr>
        <w:t xml:space="preserve"> the Jenkins Act to impose </w:t>
      </w:r>
      <w:r w:rsidR="00036760">
        <w:rPr>
          <w:rFonts w:cs="Arial"/>
        </w:rPr>
        <w:t xml:space="preserve">various </w:t>
      </w:r>
      <w:r w:rsidR="00575E8E">
        <w:rPr>
          <w:rFonts w:cs="Arial"/>
        </w:rPr>
        <w:t xml:space="preserve">registration, labeling, and tax-compliance </w:t>
      </w:r>
      <w:r w:rsidR="00036760">
        <w:rPr>
          <w:rFonts w:cs="Arial"/>
        </w:rPr>
        <w:t>requirements on remote sales of cigarettes and smokeless tobacco</w:t>
      </w:r>
      <w:r w:rsidR="007D46F4">
        <w:rPr>
          <w:rFonts w:cs="Arial"/>
        </w:rPr>
        <w:t>, and that the POSECCA’s amendment of the “cigarette” definition now subjects ENDS products to those requirements</w:t>
      </w:r>
      <w:r w:rsidR="00036760">
        <w:rPr>
          <w:rFonts w:cs="Arial"/>
        </w:rPr>
        <w:t xml:space="preserve">. </w:t>
      </w:r>
      <w:r w:rsidR="00036760" w:rsidRPr="005E6248">
        <w:rPr>
          <w:rFonts w:cs="Arial"/>
        </w:rPr>
        <w:t>See generally</w:t>
      </w:r>
      <w:r w:rsidR="00036760" w:rsidRPr="00AF27CF">
        <w:rPr>
          <w:rFonts w:cs="Arial"/>
        </w:rPr>
        <w:t xml:space="preserve"> </w:t>
      </w:r>
      <w:r w:rsidR="00036760">
        <w:rPr>
          <w:rFonts w:cs="Arial"/>
        </w:rPr>
        <w:t xml:space="preserve">15 U.S.C. 375 </w:t>
      </w:r>
      <w:r w:rsidR="00036760" w:rsidRPr="005E6248">
        <w:rPr>
          <w:rFonts w:cs="Arial"/>
        </w:rPr>
        <w:t>et seq.</w:t>
      </w:r>
      <w:r w:rsidR="00036760" w:rsidRPr="00AF27CF">
        <w:rPr>
          <w:rFonts w:cs="Arial"/>
        </w:rPr>
        <w:t xml:space="preserve"> </w:t>
      </w:r>
      <w:r w:rsidR="002461EB">
        <w:rPr>
          <w:rFonts w:cs="Arial"/>
        </w:rPr>
        <w:t xml:space="preserve">But </w:t>
      </w:r>
      <w:r w:rsidR="00ED252C">
        <w:rPr>
          <w:rFonts w:cs="Arial"/>
        </w:rPr>
        <w:t>that portion of the PACT Act</w:t>
      </w:r>
      <w:r w:rsidR="00CD104D">
        <w:rPr>
          <w:rFonts w:cs="Arial"/>
        </w:rPr>
        <w:t xml:space="preserve"> is not germane here</w:t>
      </w:r>
      <w:r w:rsidR="00ED252C">
        <w:rPr>
          <w:rFonts w:cs="Arial"/>
        </w:rPr>
        <w:t xml:space="preserve">. </w:t>
      </w:r>
      <w:r w:rsidR="009146BA">
        <w:rPr>
          <w:rFonts w:cs="Arial"/>
        </w:rPr>
        <w:t>S</w:t>
      </w:r>
      <w:r w:rsidR="002461EB">
        <w:rPr>
          <w:rFonts w:cs="Arial"/>
        </w:rPr>
        <w:t>ection 3 of t</w:t>
      </w:r>
      <w:r>
        <w:rPr>
          <w:rFonts w:cs="Arial"/>
        </w:rPr>
        <w:t xml:space="preserve">he </w:t>
      </w:r>
      <w:r w:rsidR="005F7A78">
        <w:rPr>
          <w:rFonts w:cs="Arial"/>
        </w:rPr>
        <w:t>PACT Act</w:t>
      </w:r>
      <w:r w:rsidR="00FE4453">
        <w:rPr>
          <w:rFonts w:cs="Arial"/>
        </w:rPr>
        <w:t>—</w:t>
      </w:r>
      <w:r w:rsidR="002461EB">
        <w:rPr>
          <w:rFonts w:cs="Arial"/>
        </w:rPr>
        <w:t>the portion at issue here</w:t>
      </w:r>
      <w:r w:rsidR="00FE4453">
        <w:rPr>
          <w:rFonts w:cs="Arial"/>
        </w:rPr>
        <w:t>—</w:t>
      </w:r>
      <w:r w:rsidR="009146BA">
        <w:rPr>
          <w:rFonts w:cs="Arial"/>
        </w:rPr>
        <w:t xml:space="preserve">more broadly </w:t>
      </w:r>
      <w:r w:rsidR="00284DEE">
        <w:rPr>
          <w:rFonts w:cs="Arial"/>
        </w:rPr>
        <w:t xml:space="preserve">prohibits consumer sales from being </w:t>
      </w:r>
      <w:proofErr w:type="gramStart"/>
      <w:r w:rsidR="00284DEE">
        <w:rPr>
          <w:rFonts w:cs="Arial"/>
        </w:rPr>
        <w:t>effected</w:t>
      </w:r>
      <w:proofErr w:type="gramEnd"/>
      <w:r w:rsidR="00284DEE">
        <w:rPr>
          <w:rFonts w:cs="Arial"/>
        </w:rPr>
        <w:t xml:space="preserve"> through the mails </w:t>
      </w:r>
      <w:r w:rsidR="00B14AF7">
        <w:rPr>
          <w:rFonts w:cs="Arial"/>
        </w:rPr>
        <w:t>(</w:t>
      </w:r>
      <w:r w:rsidR="00284DEE">
        <w:rPr>
          <w:rFonts w:cs="Arial"/>
        </w:rPr>
        <w:t>except for intrastate shipments within Alaska and Hawaii</w:t>
      </w:r>
      <w:r w:rsidR="00B14AF7">
        <w:rPr>
          <w:rFonts w:cs="Arial"/>
        </w:rPr>
        <w:t>)</w:t>
      </w:r>
      <w:r w:rsidR="00284DEE">
        <w:rPr>
          <w:rFonts w:cs="Arial"/>
        </w:rPr>
        <w:t>.</w:t>
      </w:r>
      <w:r w:rsidR="00B14AF7">
        <w:rPr>
          <w:rFonts w:cs="Arial"/>
        </w:rPr>
        <w:t xml:space="preserve"> Thus, the Jenkins Act requirements </w:t>
      </w:r>
      <w:r w:rsidR="00BC1115">
        <w:rPr>
          <w:rFonts w:cs="Arial"/>
        </w:rPr>
        <w:t xml:space="preserve">bear almost entirely on sales through </w:t>
      </w:r>
      <w:r w:rsidR="00AE191B">
        <w:rPr>
          <w:rFonts w:cs="Arial"/>
        </w:rPr>
        <w:t>non-postal delivery channels.</w:t>
      </w:r>
      <w:r w:rsidR="00B675D3">
        <w:rPr>
          <w:rFonts w:cs="Arial"/>
        </w:rPr>
        <w:t xml:space="preserve"> </w:t>
      </w:r>
      <w:r w:rsidR="00767675">
        <w:rPr>
          <w:rFonts w:cs="Arial"/>
        </w:rPr>
        <w:t xml:space="preserve">Whatever their application to </w:t>
      </w:r>
      <w:r w:rsidR="00204D85">
        <w:rPr>
          <w:rFonts w:cs="Arial"/>
        </w:rPr>
        <w:t xml:space="preserve">sales of ENDS products shipped through non-postal channels </w:t>
      </w:r>
      <w:r w:rsidR="0044140D">
        <w:rPr>
          <w:rFonts w:cs="Arial"/>
        </w:rPr>
        <w:t xml:space="preserve">or </w:t>
      </w:r>
      <w:r w:rsidR="00204D85">
        <w:rPr>
          <w:rFonts w:cs="Arial"/>
        </w:rPr>
        <w:t xml:space="preserve">to </w:t>
      </w:r>
      <w:r w:rsidR="00007B56">
        <w:rPr>
          <w:rFonts w:cs="Arial"/>
        </w:rPr>
        <w:t xml:space="preserve">intrastate sales within Alaska and Hawaii </w:t>
      </w:r>
      <w:r w:rsidR="00CB5B76">
        <w:rPr>
          <w:rFonts w:cs="Arial"/>
        </w:rPr>
        <w:t>effected through the mails</w:t>
      </w:r>
      <w:r w:rsidR="00007B56">
        <w:rPr>
          <w:rFonts w:cs="Arial"/>
        </w:rPr>
        <w:t>, it should be noted that the Jenkins Act is</w:t>
      </w:r>
      <w:r w:rsidR="00B675D3">
        <w:rPr>
          <w:rFonts w:cs="Arial"/>
        </w:rPr>
        <w:t xml:space="preserve"> administered by </w:t>
      </w:r>
      <w:r w:rsidR="00A407A0">
        <w:rPr>
          <w:rFonts w:cs="Arial"/>
        </w:rPr>
        <w:t>ATF</w:t>
      </w:r>
      <w:r w:rsidR="00B675D3">
        <w:rPr>
          <w:rFonts w:cs="Arial"/>
        </w:rPr>
        <w:t>, not by the Postal Service</w:t>
      </w:r>
      <w:r w:rsidR="002C20D4">
        <w:rPr>
          <w:rFonts w:cs="Arial"/>
        </w:rPr>
        <w:t xml:space="preserve">. As such, inquiries about the application of the Jenkins Act’s requirements to non-nicotine ENDS products should be directed to </w:t>
      </w:r>
      <w:r w:rsidR="00A407A0">
        <w:rPr>
          <w:rFonts w:cs="Arial"/>
        </w:rPr>
        <w:t>ATF</w:t>
      </w:r>
      <w:r w:rsidR="002C20D4">
        <w:rPr>
          <w:rFonts w:cs="Arial"/>
        </w:rPr>
        <w:t>.</w:t>
      </w:r>
    </w:p>
    <w:p w14:paraId="2C1F5133" w14:textId="3B20421C" w:rsidR="00656503" w:rsidRDefault="00656503" w:rsidP="00B675D3">
      <w:pPr>
        <w:shd w:val="clear" w:color="auto" w:fill="FFFFFF"/>
        <w:ind w:firstLine="720"/>
        <w:rPr>
          <w:rFonts w:cs="Arial"/>
        </w:rPr>
      </w:pPr>
      <w:r>
        <w:rPr>
          <w:rFonts w:cs="Arial"/>
        </w:rPr>
        <w:lastRenderedPageBreak/>
        <w:t xml:space="preserve">Finally, </w:t>
      </w:r>
      <w:r w:rsidR="0074197D">
        <w:rPr>
          <w:rFonts w:cs="Arial"/>
        </w:rPr>
        <w:t>a Federal agency partner inquired</w:t>
      </w:r>
      <w:r w:rsidR="00BC05DA">
        <w:rPr>
          <w:rFonts w:cs="Arial"/>
        </w:rPr>
        <w:t xml:space="preserve"> whether </w:t>
      </w:r>
      <w:r w:rsidR="00152C05">
        <w:rPr>
          <w:rFonts w:cs="Arial"/>
        </w:rPr>
        <w:t xml:space="preserve">the final rule would include an analysis pursuant to </w:t>
      </w:r>
      <w:r w:rsidR="00BC05DA">
        <w:rPr>
          <w:rFonts w:cs="Arial"/>
        </w:rPr>
        <w:t>the Regulatory Flexibility Act</w:t>
      </w:r>
      <w:r w:rsidR="009011F9">
        <w:rPr>
          <w:rFonts w:cs="Arial"/>
        </w:rPr>
        <w:t xml:space="preserve"> (RFA)</w:t>
      </w:r>
      <w:r w:rsidR="00BC05DA">
        <w:rPr>
          <w:rFonts w:cs="Arial"/>
        </w:rPr>
        <w:t>.</w:t>
      </w:r>
      <w:r w:rsidR="00183EA2">
        <w:rPr>
          <w:rFonts w:cs="Arial"/>
        </w:rPr>
        <w:t xml:space="preserve"> </w:t>
      </w:r>
      <w:r w:rsidR="005F3161">
        <w:rPr>
          <w:rFonts w:cs="Arial"/>
        </w:rPr>
        <w:t xml:space="preserve">The Postal Service is generally exempt </w:t>
      </w:r>
      <w:r w:rsidR="00E8737F">
        <w:rPr>
          <w:rFonts w:cs="Arial"/>
        </w:rPr>
        <w:t xml:space="preserve">from Federal statutes </w:t>
      </w:r>
      <w:r w:rsidR="00CC0218">
        <w:rPr>
          <w:rFonts w:cs="Arial"/>
        </w:rPr>
        <w:t xml:space="preserve">that govern </w:t>
      </w:r>
      <w:r w:rsidR="0074788C">
        <w:rPr>
          <w:rFonts w:cs="Arial"/>
        </w:rPr>
        <w:t>administrative matters</w:t>
      </w:r>
      <w:r w:rsidR="00E34298">
        <w:rPr>
          <w:rFonts w:cs="Arial"/>
        </w:rPr>
        <w:t>.</w:t>
      </w:r>
      <w:r w:rsidR="009011F9">
        <w:rPr>
          <w:rFonts w:cs="Arial"/>
        </w:rPr>
        <w:t xml:space="preserve"> </w:t>
      </w:r>
      <w:r w:rsidR="00660EDE">
        <w:rPr>
          <w:rFonts w:cs="Arial"/>
        </w:rPr>
        <w:t xml:space="preserve">39 U.S.C. 410(a); </w:t>
      </w:r>
      <w:r w:rsidR="00660EDE" w:rsidRPr="005E6248">
        <w:rPr>
          <w:rFonts w:cs="Arial"/>
        </w:rPr>
        <w:t>see</w:t>
      </w:r>
      <w:r w:rsidR="00660EDE">
        <w:rPr>
          <w:rFonts w:cs="Arial"/>
          <w:i/>
          <w:iCs/>
        </w:rPr>
        <w:t xml:space="preserve"> Kuzma v. U.S. Postal Serv.</w:t>
      </w:r>
      <w:r w:rsidR="00660EDE">
        <w:rPr>
          <w:rFonts w:cs="Arial"/>
        </w:rPr>
        <w:t>, 798</w:t>
      </w:r>
      <w:r w:rsidR="00107C81">
        <w:rPr>
          <w:rFonts w:cs="Arial"/>
        </w:rPr>
        <w:t> </w:t>
      </w:r>
      <w:r w:rsidR="00660EDE">
        <w:rPr>
          <w:rFonts w:cs="Arial"/>
        </w:rPr>
        <w:t>F.2d 29, 31</w:t>
      </w:r>
      <w:r w:rsidR="00A31EED">
        <w:rPr>
          <w:rFonts w:cs="Arial"/>
        </w:rPr>
        <w:t>–32</w:t>
      </w:r>
      <w:r w:rsidR="00660EDE">
        <w:rPr>
          <w:rFonts w:cs="Arial"/>
        </w:rPr>
        <w:t xml:space="preserve"> (2d Cir. 1986)</w:t>
      </w:r>
      <w:r w:rsidR="00873A7B">
        <w:rPr>
          <w:rFonts w:cs="Arial"/>
        </w:rPr>
        <w:t xml:space="preserve"> (</w:t>
      </w:r>
      <w:r w:rsidR="000D0167">
        <w:rPr>
          <w:rFonts w:cs="Arial"/>
        </w:rPr>
        <w:t>exempt</w:t>
      </w:r>
      <w:r w:rsidR="002F0D24">
        <w:rPr>
          <w:rFonts w:cs="Arial"/>
        </w:rPr>
        <w:t>ion</w:t>
      </w:r>
      <w:r w:rsidR="000D0167">
        <w:rPr>
          <w:rFonts w:cs="Arial"/>
        </w:rPr>
        <w:t xml:space="preserve"> from Paperwork Reduction Act</w:t>
      </w:r>
      <w:r w:rsidR="002F0D24">
        <w:rPr>
          <w:rFonts w:cs="Arial"/>
        </w:rPr>
        <w:t xml:space="preserve"> is consistent with legislative intent to </w:t>
      </w:r>
      <w:r w:rsidR="008E3F8B">
        <w:rPr>
          <w:rFonts w:cs="Arial"/>
        </w:rPr>
        <w:t>expand business discretion and modernize day-to-day managerial operations of the postal system</w:t>
      </w:r>
      <w:r w:rsidR="00873A7B">
        <w:rPr>
          <w:rFonts w:cs="Arial"/>
        </w:rPr>
        <w:t>)</w:t>
      </w:r>
      <w:r w:rsidR="000B4B62">
        <w:rPr>
          <w:rFonts w:cs="Arial"/>
        </w:rPr>
        <w:t>;</w:t>
      </w:r>
      <w:r w:rsidR="002C1C07">
        <w:rPr>
          <w:rStyle w:val="FootnoteReference"/>
          <w:rFonts w:cs="Arial"/>
        </w:rPr>
        <w:footnoteReference w:id="7"/>
      </w:r>
      <w:r w:rsidR="000B4B62">
        <w:rPr>
          <w:rFonts w:cs="Arial"/>
        </w:rPr>
        <w:t xml:space="preserve"> </w:t>
      </w:r>
      <w:r w:rsidR="000B4B62" w:rsidRPr="005E6248">
        <w:rPr>
          <w:rFonts w:cs="Arial"/>
        </w:rPr>
        <w:t>accord</w:t>
      </w:r>
      <w:r w:rsidR="000B4B62">
        <w:rPr>
          <w:rFonts w:cs="Arial"/>
          <w:i/>
          <w:iCs/>
        </w:rPr>
        <w:t xml:space="preserve"> Shane v. Buck</w:t>
      </w:r>
      <w:r w:rsidR="000B4B62">
        <w:rPr>
          <w:rFonts w:cs="Arial"/>
        </w:rPr>
        <w:t xml:space="preserve">, 658 F. Supp. 908, </w:t>
      </w:r>
      <w:r w:rsidR="007C15C6">
        <w:rPr>
          <w:rFonts w:cs="Arial"/>
        </w:rPr>
        <w:t>913</w:t>
      </w:r>
      <w:r w:rsidR="00BF072B">
        <w:rPr>
          <w:rFonts w:cs="Arial"/>
        </w:rPr>
        <w:t>–15</w:t>
      </w:r>
      <w:r w:rsidR="000B4B62">
        <w:rPr>
          <w:rFonts w:cs="Arial"/>
        </w:rPr>
        <w:t xml:space="preserve"> (D. Utah 1985)</w:t>
      </w:r>
      <w:r w:rsidR="00BF072B">
        <w:rPr>
          <w:rFonts w:cs="Arial"/>
        </w:rPr>
        <w:t xml:space="preserve">, </w:t>
      </w:r>
      <w:r w:rsidR="00BF072B" w:rsidRPr="005E6248">
        <w:rPr>
          <w:rFonts w:cs="Arial"/>
        </w:rPr>
        <w:t>aff’d</w:t>
      </w:r>
      <w:r w:rsidR="00BF072B">
        <w:rPr>
          <w:rFonts w:cs="Arial"/>
        </w:rPr>
        <w:t xml:space="preserve">, </w:t>
      </w:r>
      <w:r w:rsidR="00E036DC">
        <w:rPr>
          <w:rFonts w:cs="Arial"/>
        </w:rPr>
        <w:t>817 F.2d 87 (10th Cir. 1987)</w:t>
      </w:r>
      <w:r w:rsidR="000B4B62">
        <w:rPr>
          <w:rFonts w:cs="Arial"/>
        </w:rPr>
        <w:t>.</w:t>
      </w:r>
      <w:r w:rsidR="00075533">
        <w:rPr>
          <w:rStyle w:val="FootnoteReference"/>
          <w:rFonts w:cs="Arial"/>
        </w:rPr>
        <w:footnoteReference w:id="8"/>
      </w:r>
      <w:r w:rsidR="00E34298">
        <w:rPr>
          <w:rFonts w:cs="Arial"/>
        </w:rPr>
        <w:t xml:space="preserve"> T</w:t>
      </w:r>
      <w:r w:rsidR="009011F9">
        <w:rPr>
          <w:rFonts w:cs="Arial"/>
        </w:rPr>
        <w:t xml:space="preserve">he RFA is not among those </w:t>
      </w:r>
      <w:r w:rsidR="00390FD5">
        <w:rPr>
          <w:rFonts w:cs="Arial"/>
        </w:rPr>
        <w:t xml:space="preserve">statutes </w:t>
      </w:r>
      <w:r w:rsidR="009011F9">
        <w:rPr>
          <w:rFonts w:cs="Arial"/>
        </w:rPr>
        <w:t xml:space="preserve">that Congress has enumerated as </w:t>
      </w:r>
      <w:r w:rsidR="00390FD5">
        <w:rPr>
          <w:rFonts w:cs="Arial"/>
        </w:rPr>
        <w:t xml:space="preserve"> specifically </w:t>
      </w:r>
      <w:r w:rsidR="00E15DE9">
        <w:rPr>
          <w:rFonts w:cs="Arial"/>
        </w:rPr>
        <w:t>applicable</w:t>
      </w:r>
      <w:r w:rsidR="00E34298">
        <w:rPr>
          <w:rFonts w:cs="Arial"/>
        </w:rPr>
        <w:t>,</w:t>
      </w:r>
      <w:r w:rsidR="00660EDE">
        <w:rPr>
          <w:rFonts w:cs="Arial"/>
        </w:rPr>
        <w:t xml:space="preserve"> 39 U.S.C. 410(b)</w:t>
      </w:r>
      <w:r w:rsidR="00E34298">
        <w:rPr>
          <w:rFonts w:cs="Arial"/>
        </w:rPr>
        <w:t>,</w:t>
      </w:r>
      <w:r w:rsidR="009011F9">
        <w:rPr>
          <w:rFonts w:cs="Arial"/>
        </w:rPr>
        <w:t xml:space="preserve"> </w:t>
      </w:r>
      <w:r w:rsidR="00E34298">
        <w:rPr>
          <w:rFonts w:cs="Arial"/>
        </w:rPr>
        <w:t>n</w:t>
      </w:r>
      <w:r w:rsidR="005C734F">
        <w:rPr>
          <w:rFonts w:cs="Arial"/>
        </w:rPr>
        <w:t>or does the RFA</w:t>
      </w:r>
      <w:r w:rsidR="008D2101">
        <w:rPr>
          <w:rFonts w:cs="Arial"/>
        </w:rPr>
        <w:t xml:space="preserve"> </w:t>
      </w:r>
      <w:r w:rsidR="00E34298">
        <w:rPr>
          <w:rFonts w:cs="Arial"/>
        </w:rPr>
        <w:t xml:space="preserve">itself </w:t>
      </w:r>
      <w:r w:rsidR="008D2101">
        <w:rPr>
          <w:rFonts w:cs="Arial"/>
        </w:rPr>
        <w:t xml:space="preserve">expressly </w:t>
      </w:r>
      <w:r w:rsidR="0015672B">
        <w:rPr>
          <w:rFonts w:cs="Arial"/>
        </w:rPr>
        <w:t xml:space="preserve">include the Postal Service as a covered </w:t>
      </w:r>
      <w:r w:rsidR="00AD6A1F">
        <w:rPr>
          <w:rFonts w:cs="Arial"/>
        </w:rPr>
        <w:t xml:space="preserve">“agency,” such as might </w:t>
      </w:r>
      <w:r w:rsidR="00D4398F">
        <w:rPr>
          <w:rFonts w:cs="Arial"/>
        </w:rPr>
        <w:t xml:space="preserve">arguably </w:t>
      </w:r>
      <w:r w:rsidR="00AD6A1F">
        <w:rPr>
          <w:rFonts w:cs="Arial"/>
        </w:rPr>
        <w:t xml:space="preserve">supersede the Postal Service’s general exemption. </w:t>
      </w:r>
      <w:r w:rsidR="00AD6A1F" w:rsidRPr="005E6248">
        <w:rPr>
          <w:rFonts w:cs="Arial"/>
        </w:rPr>
        <w:t>See</w:t>
      </w:r>
      <w:r w:rsidR="00AD6A1F">
        <w:rPr>
          <w:rFonts w:cs="Arial"/>
        </w:rPr>
        <w:t xml:space="preserve"> 5 U.S.C. 601(1).</w:t>
      </w:r>
      <w:r w:rsidR="00A229CB">
        <w:rPr>
          <w:rFonts w:cs="Arial"/>
        </w:rPr>
        <w:t xml:space="preserve"> Indeed, the RFA’s definition of covered “agencies” points back to </w:t>
      </w:r>
      <w:r w:rsidR="00037C28">
        <w:rPr>
          <w:rFonts w:cs="Arial"/>
        </w:rPr>
        <w:t xml:space="preserve">the APA, </w:t>
      </w:r>
      <w:r w:rsidR="00037C28">
        <w:rPr>
          <w:rFonts w:cs="Arial"/>
          <w:i/>
          <w:iCs/>
        </w:rPr>
        <w:t>id.</w:t>
      </w:r>
      <w:r w:rsidR="00037C28">
        <w:rPr>
          <w:rFonts w:cs="Arial"/>
        </w:rPr>
        <w:t xml:space="preserve"> (cross-referencing 5 U.S.C. 551(1)), </w:t>
      </w:r>
      <w:r w:rsidR="00B57AA0">
        <w:rPr>
          <w:rFonts w:cs="Arial"/>
        </w:rPr>
        <w:t>from the ambit of which Congress removed the Postal Service. 39 U.S.C. 410(a).</w:t>
      </w:r>
      <w:r w:rsidR="00037C28">
        <w:rPr>
          <w:rFonts w:cs="Arial"/>
        </w:rPr>
        <w:t xml:space="preserve"> </w:t>
      </w:r>
      <w:r w:rsidR="000F763E">
        <w:rPr>
          <w:rFonts w:cs="Arial"/>
        </w:rPr>
        <w:t xml:space="preserve">Although </w:t>
      </w:r>
      <w:r w:rsidR="009556E7">
        <w:rPr>
          <w:rFonts w:cs="Arial"/>
        </w:rPr>
        <w:t>Congress</w:t>
      </w:r>
      <w:r w:rsidR="00EC39CB">
        <w:rPr>
          <w:rFonts w:cs="Arial"/>
        </w:rPr>
        <w:t xml:space="preserve">, as a </w:t>
      </w:r>
      <w:r w:rsidR="006057CD">
        <w:rPr>
          <w:rFonts w:cs="Arial"/>
        </w:rPr>
        <w:t xml:space="preserve">narrow </w:t>
      </w:r>
      <w:r w:rsidR="00EC39CB">
        <w:rPr>
          <w:rFonts w:cs="Arial"/>
        </w:rPr>
        <w:t>exception,</w:t>
      </w:r>
      <w:r w:rsidR="009556E7">
        <w:rPr>
          <w:rFonts w:cs="Arial"/>
        </w:rPr>
        <w:t xml:space="preserve"> </w:t>
      </w:r>
      <w:r w:rsidR="009556E7">
        <w:rPr>
          <w:rFonts w:cs="Arial"/>
        </w:rPr>
        <w:lastRenderedPageBreak/>
        <w:t xml:space="preserve">has </w:t>
      </w:r>
      <w:r w:rsidR="001A61F7">
        <w:rPr>
          <w:rFonts w:cs="Arial"/>
        </w:rPr>
        <w:t xml:space="preserve">provided that </w:t>
      </w:r>
      <w:r w:rsidR="00F55F4B">
        <w:rPr>
          <w:rFonts w:cs="Arial"/>
        </w:rPr>
        <w:t xml:space="preserve">proceedings concerning mailability, such as this one, </w:t>
      </w:r>
      <w:r w:rsidR="00B17987">
        <w:rPr>
          <w:rFonts w:cs="Arial"/>
        </w:rPr>
        <w:t xml:space="preserve">must be </w:t>
      </w:r>
      <w:r w:rsidR="00B915D6">
        <w:rPr>
          <w:rFonts w:cs="Arial"/>
        </w:rPr>
        <w:t>“</w:t>
      </w:r>
      <w:r w:rsidR="00B915D6" w:rsidRPr="00B915D6">
        <w:rPr>
          <w:rFonts w:cs="Arial"/>
        </w:rPr>
        <w:t>conducted in accordance with chapters 5 and 7 of title 5</w:t>
      </w:r>
      <w:r w:rsidR="00B915D6">
        <w:rPr>
          <w:rFonts w:cs="Arial"/>
        </w:rPr>
        <w:t xml:space="preserve">” (that is, the APA), </w:t>
      </w:r>
      <w:r w:rsidR="006F11FD">
        <w:rPr>
          <w:rFonts w:cs="Arial"/>
        </w:rPr>
        <w:t>5</w:t>
      </w:r>
      <w:r w:rsidR="002A0BA9">
        <w:rPr>
          <w:rFonts w:cs="Arial"/>
        </w:rPr>
        <w:t> </w:t>
      </w:r>
      <w:r w:rsidR="006F11FD">
        <w:rPr>
          <w:rFonts w:cs="Arial"/>
        </w:rPr>
        <w:t xml:space="preserve">U.S.C. chapter 6 (the RFA) is conspicuously absent from this </w:t>
      </w:r>
      <w:r w:rsidR="00C269F1">
        <w:rPr>
          <w:rFonts w:cs="Arial"/>
        </w:rPr>
        <w:t>prescription</w:t>
      </w:r>
      <w:r w:rsidR="006F11FD">
        <w:rPr>
          <w:rFonts w:cs="Arial"/>
        </w:rPr>
        <w:t>. 39 U.S.C. 3001(m).</w:t>
      </w:r>
      <w:r w:rsidR="0059222F">
        <w:rPr>
          <w:rFonts w:cs="Arial"/>
        </w:rPr>
        <w:t xml:space="preserve"> Congress’s decision to reference </w:t>
      </w:r>
      <w:r w:rsidR="00B75530">
        <w:rPr>
          <w:rFonts w:cs="Arial"/>
        </w:rPr>
        <w:t xml:space="preserve">two sets of provisions but not a third </w:t>
      </w:r>
      <w:r w:rsidR="00D50AEE">
        <w:rPr>
          <w:rFonts w:cs="Arial"/>
        </w:rPr>
        <w:t>is logically dispositive</w:t>
      </w:r>
      <w:r w:rsidR="00B75530">
        <w:rPr>
          <w:rFonts w:cs="Arial"/>
        </w:rPr>
        <w:t>,</w:t>
      </w:r>
      <w:r w:rsidR="008A3081">
        <w:rPr>
          <w:rFonts w:cs="Arial"/>
        </w:rPr>
        <w:t xml:space="preserve"> </w:t>
      </w:r>
      <w:r w:rsidR="008A3081" w:rsidRPr="005E6248">
        <w:rPr>
          <w:rFonts w:cs="Arial"/>
        </w:rPr>
        <w:t>e.g.,</w:t>
      </w:r>
      <w:r w:rsidR="00D64A77">
        <w:rPr>
          <w:rFonts w:cs="Arial"/>
        </w:rPr>
        <w:t xml:space="preserve"> </w:t>
      </w:r>
      <w:r w:rsidR="00D64A77">
        <w:rPr>
          <w:rFonts w:cs="Arial"/>
          <w:i/>
          <w:iCs/>
        </w:rPr>
        <w:t xml:space="preserve">Longview </w:t>
      </w:r>
      <w:proofErr w:type="spellStart"/>
      <w:r w:rsidR="00D64A77">
        <w:rPr>
          <w:rFonts w:cs="Arial"/>
          <w:i/>
          <w:iCs/>
        </w:rPr>
        <w:t>Fibre</w:t>
      </w:r>
      <w:proofErr w:type="spellEnd"/>
      <w:r w:rsidR="00D64A77">
        <w:rPr>
          <w:rFonts w:cs="Arial"/>
          <w:i/>
          <w:iCs/>
        </w:rPr>
        <w:t xml:space="preserve"> Co. v. Rasmussen</w:t>
      </w:r>
      <w:r w:rsidR="00D64A77">
        <w:rPr>
          <w:rFonts w:cs="Arial"/>
        </w:rPr>
        <w:t xml:space="preserve">, 980 F.2d 1307, </w:t>
      </w:r>
      <w:r w:rsidR="00FA2B70">
        <w:rPr>
          <w:rFonts w:cs="Arial"/>
        </w:rPr>
        <w:t>1312</w:t>
      </w:r>
      <w:r w:rsidR="009771F9">
        <w:rPr>
          <w:rFonts w:cs="Arial"/>
        </w:rPr>
        <w:t>–</w:t>
      </w:r>
      <w:r w:rsidR="00FA2B70">
        <w:rPr>
          <w:rFonts w:cs="Arial"/>
        </w:rPr>
        <w:t>13</w:t>
      </w:r>
      <w:r w:rsidR="00D64A77">
        <w:rPr>
          <w:rFonts w:cs="Arial"/>
        </w:rPr>
        <w:t xml:space="preserve"> (9th Cir. 1992); </w:t>
      </w:r>
      <w:r w:rsidR="00D64A77" w:rsidRPr="005E6248">
        <w:rPr>
          <w:rFonts w:cs="Arial"/>
        </w:rPr>
        <w:t>accord</w:t>
      </w:r>
      <w:r w:rsidR="008A3081">
        <w:rPr>
          <w:rFonts w:cs="Arial"/>
        </w:rPr>
        <w:t xml:space="preserve"> </w:t>
      </w:r>
      <w:r w:rsidR="008A3081">
        <w:rPr>
          <w:rFonts w:cs="Arial"/>
          <w:i/>
          <w:iCs/>
        </w:rPr>
        <w:t xml:space="preserve">Friends of </w:t>
      </w:r>
      <w:r w:rsidR="00123102">
        <w:rPr>
          <w:rFonts w:cs="Arial"/>
          <w:i/>
          <w:iCs/>
        </w:rPr>
        <w:t xml:space="preserve">the </w:t>
      </w:r>
      <w:r w:rsidR="008A3081">
        <w:rPr>
          <w:rFonts w:cs="Arial"/>
          <w:i/>
          <w:iCs/>
        </w:rPr>
        <w:t>Earth v. EPA</w:t>
      </w:r>
      <w:r w:rsidR="008A3081">
        <w:rPr>
          <w:rFonts w:cs="Arial"/>
        </w:rPr>
        <w:t>, 333 F.3d 184</w:t>
      </w:r>
      <w:r w:rsidR="00D50AEE">
        <w:rPr>
          <w:rFonts w:cs="Arial"/>
        </w:rPr>
        <w:t xml:space="preserve">, </w:t>
      </w:r>
      <w:r w:rsidR="00D64A77">
        <w:rPr>
          <w:rFonts w:cs="Arial"/>
        </w:rPr>
        <w:t>189</w:t>
      </w:r>
      <w:r w:rsidR="009771F9">
        <w:rPr>
          <w:rFonts w:cs="Arial"/>
        </w:rPr>
        <w:t>–</w:t>
      </w:r>
      <w:r w:rsidR="00D64A77">
        <w:rPr>
          <w:rFonts w:cs="Arial"/>
        </w:rPr>
        <w:t>90 (D.C. Cir. 2003)</w:t>
      </w:r>
      <w:r w:rsidR="008A3081">
        <w:rPr>
          <w:rFonts w:cs="Arial"/>
        </w:rPr>
        <w:t>,</w:t>
      </w:r>
      <w:r w:rsidR="00B75530">
        <w:rPr>
          <w:rFonts w:cs="Arial"/>
        </w:rPr>
        <w:t xml:space="preserve"> and the </w:t>
      </w:r>
      <w:r w:rsidR="00E54061">
        <w:rPr>
          <w:rFonts w:cs="Arial"/>
        </w:rPr>
        <w:t>contrast</w:t>
      </w:r>
      <w:r w:rsidR="00B75530">
        <w:rPr>
          <w:rFonts w:cs="Arial"/>
        </w:rPr>
        <w:t xml:space="preserve"> is particularly conspicuous here, where the non-referenced chapter </w:t>
      </w:r>
      <w:r w:rsidR="008A3081">
        <w:rPr>
          <w:rFonts w:cs="Arial"/>
        </w:rPr>
        <w:t xml:space="preserve">resides </w:t>
      </w:r>
      <w:r w:rsidR="00B75530">
        <w:rPr>
          <w:rFonts w:cs="Arial"/>
        </w:rPr>
        <w:t>between the two referenced chapters.</w:t>
      </w:r>
      <w:r w:rsidR="00052530">
        <w:rPr>
          <w:rFonts w:cs="Arial"/>
        </w:rPr>
        <w:t xml:space="preserve"> For </w:t>
      </w:r>
      <w:proofErr w:type="gramStart"/>
      <w:r w:rsidR="00052530">
        <w:rPr>
          <w:rFonts w:cs="Arial"/>
        </w:rPr>
        <w:t>all of</w:t>
      </w:r>
      <w:proofErr w:type="gramEnd"/>
      <w:r w:rsidR="00052530">
        <w:rPr>
          <w:rFonts w:cs="Arial"/>
        </w:rPr>
        <w:t xml:space="preserve"> these reasons, the RFA does not apply.</w:t>
      </w:r>
    </w:p>
    <w:p w14:paraId="5DCCBA44" w14:textId="47C4DF71" w:rsidR="001F3D93" w:rsidRPr="00633C2A" w:rsidRDefault="00B40446" w:rsidP="00B675D3">
      <w:pPr>
        <w:shd w:val="clear" w:color="auto" w:fill="FFFFFF"/>
        <w:ind w:firstLine="720"/>
        <w:rPr>
          <w:rFonts w:cs="Arial"/>
        </w:rPr>
      </w:pPr>
      <w:r w:rsidRPr="00B03C65">
        <w:rPr>
          <w:rFonts w:cs="Arial"/>
        </w:rPr>
        <w:t xml:space="preserve">Even if the RFA </w:t>
      </w:r>
      <w:r w:rsidR="004641F2" w:rsidRPr="00B03C65">
        <w:rPr>
          <w:rFonts w:cs="Arial"/>
        </w:rPr>
        <w:t xml:space="preserve">did apply, however, </w:t>
      </w:r>
      <w:r w:rsidR="00840BE4" w:rsidRPr="00B03C65">
        <w:rPr>
          <w:rFonts w:cs="Arial"/>
        </w:rPr>
        <w:t xml:space="preserve">the substance of </w:t>
      </w:r>
      <w:r w:rsidR="004641F2" w:rsidRPr="00B03C65">
        <w:rPr>
          <w:rFonts w:cs="Arial"/>
        </w:rPr>
        <w:t xml:space="preserve">this final rule would </w:t>
      </w:r>
      <w:r w:rsidR="00840BE4" w:rsidRPr="00B03C65">
        <w:rPr>
          <w:rFonts w:cs="Arial"/>
        </w:rPr>
        <w:t xml:space="preserve">address </w:t>
      </w:r>
      <w:proofErr w:type="gramStart"/>
      <w:r w:rsidR="00840BE4" w:rsidRPr="00B03C65">
        <w:rPr>
          <w:rFonts w:cs="Arial"/>
        </w:rPr>
        <w:t>all of</w:t>
      </w:r>
      <w:proofErr w:type="gramEnd"/>
      <w:r w:rsidR="00840BE4" w:rsidRPr="00B03C65">
        <w:rPr>
          <w:rFonts w:cs="Arial"/>
        </w:rPr>
        <w:t xml:space="preserve"> the elements of </w:t>
      </w:r>
      <w:r w:rsidR="004641F2" w:rsidRPr="00B03C65">
        <w:rPr>
          <w:rFonts w:cs="Arial"/>
        </w:rPr>
        <w:t xml:space="preserve">a regulatory flexibility analysis. </w:t>
      </w:r>
      <w:r w:rsidR="00CB68AB" w:rsidRPr="00B03C65">
        <w:rPr>
          <w:rFonts w:cs="Arial"/>
        </w:rPr>
        <w:t>Sections I</w:t>
      </w:r>
      <w:r w:rsidR="002402C4">
        <w:rPr>
          <w:rFonts w:cs="Arial"/>
        </w:rPr>
        <w:t>–</w:t>
      </w:r>
      <w:r w:rsidR="00CB68AB" w:rsidRPr="00B03C65">
        <w:rPr>
          <w:rFonts w:cs="Arial"/>
        </w:rPr>
        <w:t xml:space="preserve">II state the need for and objectives of the final rule: namely, </w:t>
      </w:r>
      <w:r w:rsidR="00AF69BF">
        <w:rPr>
          <w:rFonts w:cs="Arial"/>
        </w:rPr>
        <w:t xml:space="preserve">fulfillment of </w:t>
      </w:r>
      <w:r w:rsidR="00CB68AB" w:rsidRPr="00B03C65">
        <w:rPr>
          <w:rFonts w:cs="Arial"/>
        </w:rPr>
        <w:t xml:space="preserve">a </w:t>
      </w:r>
      <w:r w:rsidR="00AF69BF">
        <w:rPr>
          <w:rFonts w:cs="Arial"/>
        </w:rPr>
        <w:t xml:space="preserve">specific </w:t>
      </w:r>
      <w:r w:rsidR="00CB68AB" w:rsidRPr="00B03C65">
        <w:rPr>
          <w:rFonts w:cs="Arial"/>
        </w:rPr>
        <w:t>statutory directive.</w:t>
      </w:r>
      <w:r w:rsidR="00B03C65" w:rsidRPr="00B03C65">
        <w:rPr>
          <w:rFonts w:cs="Arial"/>
        </w:rPr>
        <w:t xml:space="preserve"> </w:t>
      </w:r>
      <w:r w:rsidR="00B03C65" w:rsidRPr="005E6248">
        <w:rPr>
          <w:rFonts w:cs="Arial"/>
        </w:rPr>
        <w:t>See</w:t>
      </w:r>
      <w:r w:rsidR="00B03C65" w:rsidRPr="00B03C65">
        <w:rPr>
          <w:rFonts w:cs="Arial"/>
        </w:rPr>
        <w:t xml:space="preserve"> 5 U.S.C. 604(a)(1).</w:t>
      </w:r>
      <w:r w:rsidR="00CB68AB" w:rsidRPr="00B03C65">
        <w:rPr>
          <w:rFonts w:cs="Arial"/>
        </w:rPr>
        <w:t xml:space="preserve"> </w:t>
      </w:r>
      <w:r w:rsidR="002A5B30" w:rsidRPr="00B03C65">
        <w:rPr>
          <w:rFonts w:cs="Arial"/>
        </w:rPr>
        <w:t xml:space="preserve">This section III states the significant issues raised by public comments, the Postal Service’s </w:t>
      </w:r>
      <w:r w:rsidR="00A25272" w:rsidRPr="00B03C65">
        <w:rPr>
          <w:rFonts w:cs="Arial"/>
        </w:rPr>
        <w:t xml:space="preserve">assessment of those issues, and any changes to the proposed rule made </w:t>
      </w:r>
      <w:proofErr w:type="gramStart"/>
      <w:r w:rsidR="00A25272" w:rsidRPr="00B03C65">
        <w:rPr>
          <w:rFonts w:cs="Arial"/>
        </w:rPr>
        <w:t>as a result of</w:t>
      </w:r>
      <w:proofErr w:type="gramEnd"/>
      <w:r w:rsidR="00A25272" w:rsidRPr="00B03C65">
        <w:rPr>
          <w:rFonts w:cs="Arial"/>
        </w:rPr>
        <w:t xml:space="preserve"> the comments.</w:t>
      </w:r>
      <w:r w:rsidR="001B5235">
        <w:rPr>
          <w:rFonts w:cs="Arial"/>
        </w:rPr>
        <w:t xml:space="preserve"> </w:t>
      </w:r>
      <w:r w:rsidR="00990718" w:rsidRPr="005E6248">
        <w:rPr>
          <w:rFonts w:cs="Arial"/>
        </w:rPr>
        <w:t>See</w:t>
      </w:r>
      <w:r w:rsidR="00990718">
        <w:rPr>
          <w:rFonts w:cs="Arial"/>
          <w:i/>
          <w:iCs/>
        </w:rPr>
        <w:t xml:space="preserve"> i</w:t>
      </w:r>
      <w:r w:rsidR="001B5235">
        <w:rPr>
          <w:rFonts w:cs="Arial"/>
          <w:i/>
          <w:iCs/>
        </w:rPr>
        <w:t>d.</w:t>
      </w:r>
      <w:r w:rsidR="001B5235">
        <w:rPr>
          <w:rFonts w:cs="Arial"/>
        </w:rPr>
        <w:t xml:space="preserve"> at (a)(2). </w:t>
      </w:r>
      <w:r w:rsidR="009B4113">
        <w:rPr>
          <w:rFonts w:cs="Arial"/>
        </w:rPr>
        <w:t xml:space="preserve">No response is made to comments by </w:t>
      </w:r>
      <w:r w:rsidR="009B4113" w:rsidRPr="009B4113">
        <w:rPr>
          <w:rFonts w:cs="Arial"/>
        </w:rPr>
        <w:t>the Chief Counsel for Advocacy of the Small Business Administration</w:t>
      </w:r>
      <w:r w:rsidR="009B4113">
        <w:rPr>
          <w:rFonts w:cs="Arial"/>
        </w:rPr>
        <w:t xml:space="preserve"> because no such comments were filed; nonetheless, the Postal Service consulted informally with </w:t>
      </w:r>
      <w:r w:rsidR="007F151C">
        <w:rPr>
          <w:rFonts w:cs="Arial"/>
        </w:rPr>
        <w:t xml:space="preserve">staff of that office, and issues raised by such staff are addressed throughout this section. </w:t>
      </w:r>
      <w:r w:rsidR="00314984" w:rsidRPr="005E6248">
        <w:rPr>
          <w:rFonts w:cs="Arial"/>
        </w:rPr>
        <w:t>See</w:t>
      </w:r>
      <w:r w:rsidR="00314984" w:rsidRPr="00314984">
        <w:rPr>
          <w:rFonts w:cs="Arial"/>
          <w:i/>
          <w:iCs/>
        </w:rPr>
        <w:t xml:space="preserve"> i</w:t>
      </w:r>
      <w:r w:rsidR="007F151C">
        <w:rPr>
          <w:rFonts w:cs="Arial"/>
          <w:i/>
          <w:iCs/>
        </w:rPr>
        <w:t>d.</w:t>
      </w:r>
      <w:r w:rsidR="007F151C">
        <w:rPr>
          <w:rFonts w:cs="Arial"/>
        </w:rPr>
        <w:t xml:space="preserve"> at (a)(3). </w:t>
      </w:r>
      <w:r w:rsidR="00BA5782">
        <w:rPr>
          <w:rFonts w:cs="Arial"/>
        </w:rPr>
        <w:t xml:space="preserve">Because of </w:t>
      </w:r>
      <w:r w:rsidR="00390FD5">
        <w:rPr>
          <w:rFonts w:cs="Arial"/>
        </w:rPr>
        <w:t xml:space="preserve">the </w:t>
      </w:r>
      <w:r w:rsidR="00BA5782">
        <w:rPr>
          <w:rFonts w:cs="Arial"/>
        </w:rPr>
        <w:t xml:space="preserve">breadth and heterogeneity of persons and entities who might </w:t>
      </w:r>
      <w:r w:rsidR="0023472C">
        <w:rPr>
          <w:rFonts w:cs="Arial"/>
        </w:rPr>
        <w:t xml:space="preserve">send or receive ENDS products, there is no available estimate of the number of small entities to which the rule will apply. </w:t>
      </w:r>
      <w:r w:rsidR="00314984" w:rsidRPr="005E6248">
        <w:rPr>
          <w:rFonts w:cs="Arial"/>
        </w:rPr>
        <w:t>See</w:t>
      </w:r>
      <w:r w:rsidR="00314984">
        <w:rPr>
          <w:rFonts w:cs="Arial"/>
          <w:i/>
          <w:iCs/>
        </w:rPr>
        <w:t xml:space="preserve"> i</w:t>
      </w:r>
      <w:r w:rsidR="0023472C">
        <w:rPr>
          <w:rFonts w:cs="Arial"/>
          <w:i/>
          <w:iCs/>
        </w:rPr>
        <w:t>d.</w:t>
      </w:r>
      <w:r w:rsidR="0023472C">
        <w:rPr>
          <w:rFonts w:cs="Arial"/>
        </w:rPr>
        <w:t xml:space="preserve"> at (a)(4). </w:t>
      </w:r>
      <w:r w:rsidR="00D56C55">
        <w:rPr>
          <w:rFonts w:cs="Arial"/>
        </w:rPr>
        <w:t>The final rule does not impose reporting</w:t>
      </w:r>
      <w:r w:rsidR="00965C53">
        <w:rPr>
          <w:rFonts w:cs="Arial"/>
        </w:rPr>
        <w:t xml:space="preserve"> or recordkeeping requirements</w:t>
      </w:r>
      <w:r w:rsidR="005C615C">
        <w:rPr>
          <w:rFonts w:cs="Arial"/>
        </w:rPr>
        <w:t xml:space="preserve">; to the extent that </w:t>
      </w:r>
      <w:r w:rsidR="005C615C">
        <w:rPr>
          <w:rFonts w:cs="Arial"/>
        </w:rPr>
        <w:lastRenderedPageBreak/>
        <w:t xml:space="preserve">the final rule—or, rather, the governing statute—imposes various types of compliance requirements, the </w:t>
      </w:r>
      <w:r w:rsidR="00633C2A">
        <w:rPr>
          <w:rFonts w:cs="Arial"/>
        </w:rPr>
        <w:t xml:space="preserve">classes of entities subject to those requirements should be evident from this final rule. </w:t>
      </w:r>
      <w:r w:rsidR="00314984" w:rsidRPr="005E6248">
        <w:rPr>
          <w:rFonts w:cs="Arial"/>
        </w:rPr>
        <w:t>See</w:t>
      </w:r>
      <w:r w:rsidR="00314984">
        <w:rPr>
          <w:rFonts w:cs="Arial"/>
          <w:i/>
          <w:iCs/>
        </w:rPr>
        <w:t xml:space="preserve"> i</w:t>
      </w:r>
      <w:r w:rsidR="00633C2A">
        <w:rPr>
          <w:rFonts w:cs="Arial"/>
          <w:i/>
          <w:iCs/>
        </w:rPr>
        <w:t>d.</w:t>
      </w:r>
      <w:r w:rsidR="00633C2A">
        <w:rPr>
          <w:rFonts w:cs="Arial"/>
        </w:rPr>
        <w:t xml:space="preserve"> at (a)(5).</w:t>
      </w:r>
      <w:r w:rsidR="0023776B">
        <w:rPr>
          <w:rFonts w:cs="Arial"/>
        </w:rPr>
        <w:t xml:space="preserve"> Finally, as explained in section </w:t>
      </w:r>
      <w:r w:rsidR="0023776B" w:rsidRPr="0022072C">
        <w:rPr>
          <w:rFonts w:cs="Arial"/>
        </w:rPr>
        <w:t>III.A</w:t>
      </w:r>
      <w:r w:rsidR="0023776B">
        <w:rPr>
          <w:rFonts w:cs="Arial"/>
        </w:rPr>
        <w:t xml:space="preserve"> and elsewhere, </w:t>
      </w:r>
      <w:r w:rsidR="000F01F8">
        <w:rPr>
          <w:rFonts w:cs="Arial"/>
        </w:rPr>
        <w:t xml:space="preserve">this rulemaking fulfills statutory directives as to which the Postal Service was not delegated </w:t>
      </w:r>
      <w:r w:rsidR="00EB474D">
        <w:rPr>
          <w:rFonts w:cs="Arial"/>
        </w:rPr>
        <w:t xml:space="preserve">substantial </w:t>
      </w:r>
      <w:r w:rsidR="000F01F8">
        <w:rPr>
          <w:rFonts w:cs="Arial"/>
        </w:rPr>
        <w:t xml:space="preserve">policy discretion. As such, </w:t>
      </w:r>
      <w:r w:rsidR="000972D6">
        <w:rPr>
          <w:rFonts w:cs="Arial"/>
        </w:rPr>
        <w:t>the Postal Service has few, if any, means to minimize the economic impact on small entities.</w:t>
      </w:r>
      <w:r w:rsidR="00314984">
        <w:rPr>
          <w:rFonts w:cs="Arial"/>
        </w:rPr>
        <w:t xml:space="preserve"> </w:t>
      </w:r>
      <w:r w:rsidR="00314984" w:rsidRPr="005E6248">
        <w:rPr>
          <w:rFonts w:cs="Arial"/>
        </w:rPr>
        <w:t>See</w:t>
      </w:r>
      <w:r w:rsidR="00314984">
        <w:rPr>
          <w:rFonts w:cs="Arial"/>
          <w:i/>
          <w:iCs/>
        </w:rPr>
        <w:t xml:space="preserve"> id.</w:t>
      </w:r>
      <w:r w:rsidR="00314984">
        <w:rPr>
          <w:rFonts w:cs="Arial"/>
        </w:rPr>
        <w:t xml:space="preserve"> at (a)(6).</w:t>
      </w:r>
      <w:r w:rsidR="000F01F8">
        <w:rPr>
          <w:rFonts w:cs="Arial"/>
        </w:rPr>
        <w:t xml:space="preserve"> </w:t>
      </w:r>
      <w:r w:rsidR="00990718">
        <w:rPr>
          <w:rFonts w:cs="Arial"/>
        </w:rPr>
        <w:t xml:space="preserve">To the extent that </w:t>
      </w:r>
      <w:r w:rsidR="00312207">
        <w:rPr>
          <w:rFonts w:cs="Arial"/>
        </w:rPr>
        <w:t>the Postal Service, in this final rule, does exercise some limited administrative authority</w:t>
      </w:r>
      <w:r w:rsidR="00990718">
        <w:rPr>
          <w:rFonts w:cs="Arial"/>
        </w:rPr>
        <w:t xml:space="preserve">, such as </w:t>
      </w:r>
      <w:r w:rsidR="00CD6ECC">
        <w:rPr>
          <w:rFonts w:cs="Arial"/>
        </w:rPr>
        <w:t xml:space="preserve">with respect to the </w:t>
      </w:r>
      <w:r w:rsidR="004F31F7">
        <w:rPr>
          <w:rFonts w:cs="Arial"/>
        </w:rPr>
        <w:t xml:space="preserve">precise method for verifying eligibility for </w:t>
      </w:r>
      <w:r w:rsidR="00990718">
        <w:rPr>
          <w:rFonts w:cs="Arial"/>
        </w:rPr>
        <w:t xml:space="preserve">the Business/Regulatory Purposes exception, </w:t>
      </w:r>
      <w:r w:rsidR="00AF4EA1">
        <w:rPr>
          <w:rFonts w:cs="Arial"/>
        </w:rPr>
        <w:t xml:space="preserve">the relevant portion of section III will </w:t>
      </w:r>
      <w:r w:rsidR="009969E4">
        <w:rPr>
          <w:rFonts w:cs="Arial"/>
        </w:rPr>
        <w:t>explain the legal, policy, and/or factual rationale for the chosen measures</w:t>
      </w:r>
      <w:r w:rsidR="007353C2">
        <w:rPr>
          <w:rFonts w:cs="Arial"/>
        </w:rPr>
        <w:t xml:space="preserve"> and why they are superior to alternatives</w:t>
      </w:r>
      <w:r w:rsidR="009969E4">
        <w:rPr>
          <w:rFonts w:cs="Arial"/>
        </w:rPr>
        <w:t>.</w:t>
      </w:r>
      <w:r w:rsidR="007353C2">
        <w:rPr>
          <w:rFonts w:cs="Arial"/>
        </w:rPr>
        <w:t xml:space="preserve"> </w:t>
      </w:r>
      <w:r w:rsidR="007353C2" w:rsidRPr="007353C2">
        <w:rPr>
          <w:rFonts w:cs="Arial"/>
        </w:rPr>
        <w:t xml:space="preserve">Thus, despite their inapplicability, </w:t>
      </w:r>
      <w:r w:rsidR="008D3F38" w:rsidRPr="007353C2">
        <w:rPr>
          <w:rFonts w:cs="Arial"/>
        </w:rPr>
        <w:t xml:space="preserve">the substantive requirements of the RFA </w:t>
      </w:r>
      <w:r w:rsidR="00DB37D5">
        <w:rPr>
          <w:rFonts w:cs="Arial"/>
        </w:rPr>
        <w:t>are</w:t>
      </w:r>
      <w:r w:rsidR="007353C2" w:rsidRPr="007353C2">
        <w:rPr>
          <w:rFonts w:cs="Arial"/>
        </w:rPr>
        <w:t xml:space="preserve"> fulfilled in this instance.</w:t>
      </w:r>
    </w:p>
    <w:p w14:paraId="220D75F9" w14:textId="18CE543E" w:rsidR="00775C69" w:rsidRPr="000D3A79" w:rsidRDefault="001F2D7E" w:rsidP="000D3A79">
      <w:pPr>
        <w:ind w:firstLine="720"/>
        <w:rPr>
          <w:b/>
          <w:bCs/>
        </w:rPr>
      </w:pPr>
      <w:bookmarkStart w:id="17" w:name="_Toc79569804"/>
      <w:r w:rsidRPr="000D3A79">
        <w:rPr>
          <w:b/>
          <w:bCs/>
        </w:rPr>
        <w:t>D.</w:t>
      </w:r>
      <w:r w:rsidRPr="000D3A79">
        <w:rPr>
          <w:b/>
          <w:bCs/>
        </w:rPr>
        <w:tab/>
      </w:r>
      <w:r w:rsidR="00775C69" w:rsidRPr="000D3A79">
        <w:rPr>
          <w:b/>
          <w:bCs/>
        </w:rPr>
        <w:t>Scope of Covered ENDS Products</w:t>
      </w:r>
      <w:bookmarkEnd w:id="17"/>
    </w:p>
    <w:p w14:paraId="589B49BB" w14:textId="037A7606" w:rsidR="00A31162" w:rsidRPr="000D3A79" w:rsidRDefault="001F2D7E" w:rsidP="000D3A79">
      <w:pPr>
        <w:ind w:left="720" w:firstLine="720"/>
        <w:rPr>
          <w:b/>
          <w:bCs/>
        </w:rPr>
      </w:pPr>
      <w:r w:rsidRPr="000D3A79">
        <w:rPr>
          <w:b/>
          <w:bCs/>
        </w:rPr>
        <w:t>1.</w:t>
      </w:r>
      <w:r w:rsidRPr="000D3A79">
        <w:rPr>
          <w:b/>
          <w:bCs/>
        </w:rPr>
        <w:tab/>
      </w:r>
      <w:bookmarkStart w:id="18" w:name="_Toc79569805"/>
      <w:r w:rsidR="00A31162" w:rsidRPr="000D3A79">
        <w:rPr>
          <w:b/>
          <w:bCs/>
        </w:rPr>
        <w:t>Non-Nicotine-Related ENDS Products</w:t>
      </w:r>
      <w:r w:rsidR="00DB7778" w:rsidRPr="000D3A79">
        <w:rPr>
          <w:b/>
          <w:bCs/>
        </w:rPr>
        <w:t xml:space="preserve"> Generally</w:t>
      </w:r>
      <w:bookmarkEnd w:id="18"/>
    </w:p>
    <w:p w14:paraId="35090021" w14:textId="72208FEE" w:rsidR="008F6E40" w:rsidRDefault="008F6E40" w:rsidP="00FD29E0">
      <w:pPr>
        <w:shd w:val="clear" w:color="auto" w:fill="FFFFFF"/>
        <w:ind w:firstLine="720"/>
        <w:rPr>
          <w:rFonts w:cs="Arial"/>
        </w:rPr>
      </w:pPr>
      <w:r>
        <w:rPr>
          <w:rFonts w:cs="Arial"/>
        </w:rPr>
        <w:t>The POSECCA defines ENDS</w:t>
      </w:r>
      <w:r w:rsidR="003F1FE6">
        <w:rPr>
          <w:rFonts w:cs="Arial"/>
        </w:rPr>
        <w:t xml:space="preserve"> products</w:t>
      </w:r>
      <w:r>
        <w:rPr>
          <w:rFonts w:cs="Arial"/>
        </w:rPr>
        <w:t xml:space="preserve"> in relation to their delivery of “nicotine, flavor, or any other substance.”</w:t>
      </w:r>
      <w:r w:rsidR="00772BA1">
        <w:rPr>
          <w:rFonts w:cs="Arial"/>
        </w:rPr>
        <w:t xml:space="preserve"> 15 U.S.C. 375(7)(A).</w:t>
      </w:r>
      <w:r w:rsidR="00FD4BE9">
        <w:rPr>
          <w:rFonts w:cs="Arial"/>
        </w:rPr>
        <w:t xml:space="preserve"> Th</w:t>
      </w:r>
      <w:r w:rsidR="003B3FC4">
        <w:rPr>
          <w:rFonts w:cs="Arial"/>
        </w:rPr>
        <w:t>rough use of this list and the disjunctive “or,” th</w:t>
      </w:r>
      <w:r w:rsidR="00FD4BE9">
        <w:rPr>
          <w:rFonts w:cs="Arial"/>
        </w:rPr>
        <w:t xml:space="preserve">is language </w:t>
      </w:r>
      <w:r w:rsidR="00BA7944">
        <w:rPr>
          <w:rFonts w:cs="Arial"/>
        </w:rPr>
        <w:t xml:space="preserve">is </w:t>
      </w:r>
      <w:r w:rsidR="00FD4BE9">
        <w:rPr>
          <w:rFonts w:cs="Arial"/>
        </w:rPr>
        <w:t xml:space="preserve">clear on its face: covered ENDS products may be used to deliver nicotine, </w:t>
      </w:r>
      <w:r w:rsidR="00FD4BE9" w:rsidRPr="003B3FC4">
        <w:rPr>
          <w:rFonts w:cs="Arial"/>
          <w:u w:val="single"/>
        </w:rPr>
        <w:t>or</w:t>
      </w:r>
      <w:r w:rsidR="00FD4BE9">
        <w:rPr>
          <w:rFonts w:cs="Arial"/>
        </w:rPr>
        <w:t xml:space="preserve"> they may be used to deliver </w:t>
      </w:r>
      <w:r w:rsidR="003B3FC4">
        <w:rPr>
          <w:rFonts w:cs="Arial"/>
        </w:rPr>
        <w:t xml:space="preserve">flavor, </w:t>
      </w:r>
      <w:r w:rsidR="001B374A">
        <w:rPr>
          <w:rFonts w:cs="Arial"/>
          <w:u w:val="single"/>
        </w:rPr>
        <w:t>or</w:t>
      </w:r>
      <w:r w:rsidR="001B374A">
        <w:rPr>
          <w:rFonts w:cs="Arial"/>
        </w:rPr>
        <w:t xml:space="preserve"> they may be used to deliver any </w:t>
      </w:r>
      <w:r w:rsidR="00BA7944">
        <w:rPr>
          <w:rFonts w:cs="Arial"/>
        </w:rPr>
        <w:t xml:space="preserve">other </w:t>
      </w:r>
      <w:r w:rsidR="001B374A">
        <w:rPr>
          <w:rFonts w:cs="Arial"/>
        </w:rPr>
        <w:t xml:space="preserve">substance </w:t>
      </w:r>
      <w:r w:rsidR="00BA7944">
        <w:rPr>
          <w:rFonts w:cs="Arial"/>
        </w:rPr>
        <w:t>(</w:t>
      </w:r>
      <w:r w:rsidR="00C3089A">
        <w:rPr>
          <w:rFonts w:cs="Arial"/>
        </w:rPr>
        <w:t>with</w:t>
      </w:r>
      <w:r w:rsidR="00BA7944">
        <w:rPr>
          <w:rFonts w:cs="Arial"/>
        </w:rPr>
        <w:t xml:space="preserve"> or without</w:t>
      </w:r>
      <w:r w:rsidR="00C3089A">
        <w:rPr>
          <w:rFonts w:cs="Arial"/>
        </w:rPr>
        <w:t xml:space="preserve"> </w:t>
      </w:r>
      <w:r w:rsidR="001B374A">
        <w:rPr>
          <w:rFonts w:cs="Arial"/>
        </w:rPr>
        <w:t>nicotine or flavor</w:t>
      </w:r>
      <w:r w:rsidR="001619C9">
        <w:rPr>
          <w:rFonts w:cs="Arial"/>
        </w:rPr>
        <w:t>)</w:t>
      </w:r>
      <w:r w:rsidR="001B374A">
        <w:rPr>
          <w:rFonts w:cs="Arial"/>
        </w:rPr>
        <w:t>.</w:t>
      </w:r>
      <w:r w:rsidR="00C12AE3">
        <w:rPr>
          <w:rFonts w:cs="Arial"/>
        </w:rPr>
        <w:t xml:space="preserve"> </w:t>
      </w:r>
      <w:r w:rsidR="001C2DF5">
        <w:rPr>
          <w:rFonts w:cs="Arial"/>
        </w:rPr>
        <w:t xml:space="preserve">For this reason, the </w:t>
      </w:r>
      <w:r w:rsidR="00C3089A">
        <w:rPr>
          <w:rFonts w:cs="Arial"/>
        </w:rPr>
        <w:t xml:space="preserve">Postal Service </w:t>
      </w:r>
      <w:r w:rsidR="001C2DF5">
        <w:rPr>
          <w:rFonts w:cs="Arial"/>
        </w:rPr>
        <w:t xml:space="preserve">observed </w:t>
      </w:r>
      <w:r w:rsidR="00C3089A">
        <w:rPr>
          <w:rFonts w:cs="Arial"/>
        </w:rPr>
        <w:t xml:space="preserve">in the notice of proposed rulemaking </w:t>
      </w:r>
      <w:r w:rsidR="001C2DF5">
        <w:rPr>
          <w:rFonts w:cs="Arial"/>
        </w:rPr>
        <w:t>that, “[d]</w:t>
      </w:r>
      <w:proofErr w:type="spellStart"/>
      <w:r w:rsidR="001C2DF5">
        <w:t>espite</w:t>
      </w:r>
      <w:proofErr w:type="spellEnd"/>
      <w:r w:rsidR="001C2DF5">
        <w:t xml:space="preserve"> the name, an item can qualify as an ENDS </w:t>
      </w:r>
      <w:r w:rsidR="001B2C81">
        <w:t xml:space="preserve">product </w:t>
      </w:r>
      <w:r w:rsidR="001C2DF5">
        <w:t xml:space="preserve">without regard to whether it contains or is intended to be used to deliver nicotine; </w:t>
      </w:r>
      <w:r w:rsidR="001C2DF5">
        <w:lastRenderedPageBreak/>
        <w:t>liquids that do not actually contain nicotine can still qualify as ENDS, as can devices, parts, components, and accessories capable of or intended for use with non-nicotine-containing liquids.</w:t>
      </w:r>
      <w:r w:rsidR="001C2DF5">
        <w:rPr>
          <w:rFonts w:cs="Arial"/>
        </w:rPr>
        <w:t xml:space="preserve">” 86 </w:t>
      </w:r>
      <w:r w:rsidR="007A54C0">
        <w:rPr>
          <w:rFonts w:cs="Arial"/>
        </w:rPr>
        <w:t>FR</w:t>
      </w:r>
      <w:r w:rsidR="001C2DF5">
        <w:rPr>
          <w:rFonts w:cs="Arial"/>
        </w:rPr>
        <w:t xml:space="preserve"> at 10219.</w:t>
      </w:r>
    </w:p>
    <w:p w14:paraId="656BC809" w14:textId="23A7A8DE" w:rsidR="002571C9" w:rsidRDefault="002571C9" w:rsidP="002571C9">
      <w:pPr>
        <w:shd w:val="clear" w:color="auto" w:fill="FFFFFF"/>
        <w:ind w:firstLine="720"/>
        <w:rPr>
          <w:rFonts w:cs="Arial"/>
        </w:rPr>
      </w:pPr>
      <w:proofErr w:type="gramStart"/>
      <w:r>
        <w:rPr>
          <w:rFonts w:cs="Arial"/>
        </w:rPr>
        <w:t>Before addressing comments on non-nicotine substances, it</w:t>
      </w:r>
      <w:proofErr w:type="gramEnd"/>
      <w:r>
        <w:rPr>
          <w:rFonts w:cs="Arial"/>
        </w:rPr>
        <w:t xml:space="preserve"> must be emphasized that </w:t>
      </w:r>
      <w:r w:rsidR="00A407A0">
        <w:rPr>
          <w:rFonts w:cs="Arial"/>
        </w:rPr>
        <w:t>ATF</w:t>
      </w:r>
      <w:r>
        <w:rPr>
          <w:rFonts w:cs="Arial"/>
        </w:rPr>
        <w:t xml:space="preserve"> is charged with administering the statute in which the relevant definitions reside. </w:t>
      </w:r>
      <w:r w:rsidR="002A0BA9">
        <w:rPr>
          <w:rFonts w:cs="Arial"/>
        </w:rPr>
        <w:t>While the Postal Service consulted with ATF in developing the discussion that follows, q</w:t>
      </w:r>
      <w:r>
        <w:rPr>
          <w:rFonts w:cs="Arial"/>
        </w:rPr>
        <w:t xml:space="preserve">uestions of whether a particular product falls within these definitions therefore should be directed to </w:t>
      </w:r>
      <w:r w:rsidR="00A407A0">
        <w:rPr>
          <w:rFonts w:cs="Arial"/>
        </w:rPr>
        <w:t>ATF</w:t>
      </w:r>
      <w:r>
        <w:rPr>
          <w:rFonts w:cs="Arial"/>
        </w:rPr>
        <w:t>.</w:t>
      </w:r>
    </w:p>
    <w:p w14:paraId="5162B0A5" w14:textId="0FCB3809" w:rsidR="00E35541" w:rsidRPr="000D3A79" w:rsidRDefault="001F2D7E" w:rsidP="000D3A79">
      <w:pPr>
        <w:ind w:left="1440" w:firstLine="720"/>
        <w:rPr>
          <w:b/>
          <w:bCs/>
        </w:rPr>
      </w:pPr>
      <w:bookmarkStart w:id="19" w:name="_Toc79569806"/>
      <w:r w:rsidRPr="000D3A79">
        <w:rPr>
          <w:b/>
          <w:bCs/>
        </w:rPr>
        <w:t>i.</w:t>
      </w:r>
      <w:r w:rsidRPr="000D3A79">
        <w:rPr>
          <w:b/>
          <w:bCs/>
        </w:rPr>
        <w:tab/>
      </w:r>
      <w:r w:rsidR="001D55B6" w:rsidRPr="000D3A79">
        <w:rPr>
          <w:b/>
          <w:bCs/>
        </w:rPr>
        <w:t>Relation to Nicotine and Flavor</w:t>
      </w:r>
      <w:bookmarkEnd w:id="19"/>
    </w:p>
    <w:p w14:paraId="06271A35" w14:textId="68931227" w:rsidR="00F4349D" w:rsidRDefault="009336DF" w:rsidP="00FD29E0">
      <w:pPr>
        <w:shd w:val="clear" w:color="auto" w:fill="FFFFFF"/>
        <w:ind w:firstLine="720"/>
        <w:rPr>
          <w:rFonts w:cs="Arial"/>
        </w:rPr>
      </w:pPr>
      <w:r>
        <w:rPr>
          <w:rFonts w:cs="Arial"/>
        </w:rPr>
        <w:t xml:space="preserve">Two </w:t>
      </w:r>
      <w:r w:rsidR="00F4349D">
        <w:rPr>
          <w:rFonts w:cs="Arial"/>
        </w:rPr>
        <w:t xml:space="preserve">ENDS industry </w:t>
      </w:r>
      <w:r>
        <w:rPr>
          <w:rFonts w:cs="Arial"/>
        </w:rPr>
        <w:t xml:space="preserve">commenters presented multiple legal arguments for an alternative construction. First, they </w:t>
      </w:r>
      <w:r w:rsidR="00900C33">
        <w:rPr>
          <w:rFonts w:cs="Arial"/>
        </w:rPr>
        <w:t xml:space="preserve">invoked </w:t>
      </w:r>
      <w:r>
        <w:rPr>
          <w:rFonts w:cs="Arial"/>
        </w:rPr>
        <w:t xml:space="preserve">the </w:t>
      </w:r>
      <w:r w:rsidR="00900C33">
        <w:rPr>
          <w:rFonts w:cs="Arial"/>
        </w:rPr>
        <w:t xml:space="preserve">canon of statutory construction known as </w:t>
      </w:r>
      <w:r w:rsidR="00900C33" w:rsidRPr="005E6248">
        <w:rPr>
          <w:rFonts w:cs="Arial"/>
        </w:rPr>
        <w:t>ejusdem generis</w:t>
      </w:r>
      <w:r w:rsidR="00900C33">
        <w:rPr>
          <w:rFonts w:cs="Arial"/>
        </w:rPr>
        <w:t xml:space="preserve">, </w:t>
      </w:r>
      <w:r w:rsidR="00CC07DE">
        <w:rPr>
          <w:rFonts w:cs="Arial"/>
        </w:rPr>
        <w:t>which “</w:t>
      </w:r>
      <w:r w:rsidR="00CC07DE" w:rsidRPr="00CC07DE">
        <w:rPr>
          <w:rFonts w:cs="Arial"/>
        </w:rPr>
        <w:t>instructs that, where general words follow specific words in an enumeration describing a statute</w:t>
      </w:r>
      <w:r w:rsidR="009F4A5D">
        <w:rPr>
          <w:rFonts w:cs="Arial"/>
        </w:rPr>
        <w:t>’</w:t>
      </w:r>
      <w:r w:rsidR="00CC07DE" w:rsidRPr="00CC07DE">
        <w:rPr>
          <w:rFonts w:cs="Arial"/>
        </w:rPr>
        <w:t>s legal subject, the general words are construed to embrace only objects similar in nature to those objects enumerated by the preceding specific words</w:t>
      </w:r>
      <w:r w:rsidR="00CC07DE">
        <w:rPr>
          <w:rFonts w:cs="Arial"/>
        </w:rPr>
        <w:t xml:space="preserve">.” </w:t>
      </w:r>
      <w:r w:rsidR="00CF21F2">
        <w:rPr>
          <w:rFonts w:cs="Arial"/>
        </w:rPr>
        <w:t xml:space="preserve">Norman &amp; </w:t>
      </w:r>
      <w:proofErr w:type="spellStart"/>
      <w:r w:rsidR="00CF21F2">
        <w:rPr>
          <w:rFonts w:cs="Arial"/>
        </w:rPr>
        <w:t>Shambie</w:t>
      </w:r>
      <w:proofErr w:type="spellEnd"/>
      <w:r w:rsidR="00CF21F2">
        <w:rPr>
          <w:rFonts w:cs="Arial"/>
        </w:rPr>
        <w:t xml:space="preserve"> Singer, 2A</w:t>
      </w:r>
      <w:r w:rsidR="00C94F4E">
        <w:rPr>
          <w:rFonts w:cs="Arial"/>
        </w:rPr>
        <w:t> </w:t>
      </w:r>
      <w:r w:rsidR="00CF21F2">
        <w:rPr>
          <w:rFonts w:cs="Arial"/>
        </w:rPr>
        <w:t>Sutherland Statutes &amp; Statutory Construction</w:t>
      </w:r>
      <w:r w:rsidR="006D38F6">
        <w:rPr>
          <w:rFonts w:cs="Arial"/>
        </w:rPr>
        <w:t xml:space="preserve"> section </w:t>
      </w:r>
      <w:r w:rsidR="00CF21F2">
        <w:rPr>
          <w:rFonts w:cs="Arial"/>
        </w:rPr>
        <w:t>47:17 (7th ed.</w:t>
      </w:r>
      <w:r w:rsidR="00CF65FA">
        <w:rPr>
          <w:rFonts w:cs="Arial"/>
        </w:rPr>
        <w:t xml:space="preserve"> 2020</w:t>
      </w:r>
      <w:r w:rsidR="00CF21F2">
        <w:rPr>
          <w:rFonts w:cs="Arial"/>
        </w:rPr>
        <w:t>).</w:t>
      </w:r>
      <w:r w:rsidR="00AA0C4C">
        <w:rPr>
          <w:rFonts w:cs="Arial"/>
        </w:rPr>
        <w:t xml:space="preserve"> </w:t>
      </w:r>
      <w:r w:rsidR="00D342A2">
        <w:rPr>
          <w:rFonts w:cs="Arial"/>
        </w:rPr>
        <w:t xml:space="preserve">One of the commenters </w:t>
      </w:r>
      <w:r w:rsidR="00AA0C4C">
        <w:rPr>
          <w:rFonts w:cs="Arial"/>
        </w:rPr>
        <w:t xml:space="preserve">argued that, applied here, </w:t>
      </w:r>
      <w:r w:rsidR="006A43ED">
        <w:rPr>
          <w:rFonts w:cs="Arial"/>
        </w:rPr>
        <w:t>“any other substance” must be interpreted as “any other substance that mimics nicotine or flavor.”</w:t>
      </w:r>
      <w:r w:rsidR="00D342A2">
        <w:rPr>
          <w:rFonts w:cs="Arial"/>
        </w:rPr>
        <w:t xml:space="preserve"> The other argued that </w:t>
      </w:r>
      <w:r w:rsidR="004B7E84">
        <w:rPr>
          <w:rFonts w:cs="Arial"/>
        </w:rPr>
        <w:t>“any other substance” should be “limited to substances related to nicotine and flavor, such as liquid nicotine and liquid nicotine combined with colorings, flavorings, or other ingredients</w:t>
      </w:r>
      <w:r w:rsidR="006E417A">
        <w:rPr>
          <w:rFonts w:cs="Arial"/>
        </w:rPr>
        <w:t>,” and posited that Congress may have intended this to encompass non-nicotine liquids used with e-cigarettes but not with other ENDS devices.</w:t>
      </w:r>
    </w:p>
    <w:p w14:paraId="444824C4" w14:textId="4E0F4290" w:rsidR="0032157A" w:rsidRPr="00356A25" w:rsidRDefault="00C94F4E" w:rsidP="00FD29E0">
      <w:pPr>
        <w:shd w:val="clear" w:color="auto" w:fill="FFFFFF"/>
        <w:ind w:firstLine="720"/>
        <w:rPr>
          <w:rFonts w:cs="Arial"/>
        </w:rPr>
      </w:pPr>
      <w:r>
        <w:rPr>
          <w:rFonts w:cs="Arial"/>
        </w:rPr>
        <w:lastRenderedPageBreak/>
        <w:t xml:space="preserve">This argument is unpersuasive. </w:t>
      </w:r>
      <w:r w:rsidR="004276F8">
        <w:rPr>
          <w:rFonts w:cs="Arial"/>
        </w:rPr>
        <w:t>“</w:t>
      </w:r>
      <w:r w:rsidR="003444E0">
        <w:rPr>
          <w:rFonts w:cs="Arial"/>
        </w:rPr>
        <w:t>N</w:t>
      </w:r>
      <w:r w:rsidR="004276F8">
        <w:rPr>
          <w:rFonts w:cs="Arial"/>
        </w:rPr>
        <w:t xml:space="preserve">icotine” and “flavor” do not </w:t>
      </w:r>
      <w:r w:rsidR="00804D41">
        <w:rPr>
          <w:rFonts w:cs="Arial"/>
        </w:rPr>
        <w:t>admit of any common characteristic, such as might define a class of substances beyond nicotine and flavor</w:t>
      </w:r>
      <w:r w:rsidR="004276F8">
        <w:rPr>
          <w:rFonts w:cs="Arial"/>
        </w:rPr>
        <w:t>.</w:t>
      </w:r>
      <w:r w:rsidR="005C4E41">
        <w:rPr>
          <w:rFonts w:cs="Arial"/>
        </w:rPr>
        <w:t xml:space="preserve"> </w:t>
      </w:r>
      <w:r w:rsidR="005C4E41" w:rsidRPr="005E6248">
        <w:rPr>
          <w:rFonts w:cs="Arial"/>
        </w:rPr>
        <w:t>See</w:t>
      </w:r>
      <w:r w:rsidR="005C4E41">
        <w:rPr>
          <w:rFonts w:cs="Arial"/>
          <w:i/>
          <w:iCs/>
        </w:rPr>
        <w:t xml:space="preserve"> id.</w:t>
      </w:r>
      <w:r w:rsidR="006D38F6">
        <w:rPr>
          <w:rFonts w:cs="Arial"/>
          <w:i/>
          <w:iCs/>
        </w:rPr>
        <w:t xml:space="preserve"> </w:t>
      </w:r>
      <w:r w:rsidR="006D38F6">
        <w:rPr>
          <w:rFonts w:cs="Arial"/>
        </w:rPr>
        <w:t xml:space="preserve">section </w:t>
      </w:r>
      <w:r w:rsidR="005C4E41">
        <w:rPr>
          <w:rFonts w:cs="Arial"/>
        </w:rPr>
        <w:t>47:18 (application of the canon requires the enumerated things to constitute a class that is not exhausted by the enumeration)</w:t>
      </w:r>
      <w:r w:rsidR="00441F86">
        <w:rPr>
          <w:rFonts w:cs="Arial"/>
        </w:rPr>
        <w:t xml:space="preserve">; </w:t>
      </w:r>
      <w:r w:rsidR="00441F86" w:rsidRPr="005E6248">
        <w:t>see, e.g.,</w:t>
      </w:r>
      <w:r w:rsidR="00441F86">
        <w:rPr>
          <w:i/>
          <w:iCs/>
        </w:rPr>
        <w:t xml:space="preserve"> Yates v. United States</w:t>
      </w:r>
      <w:r w:rsidR="00441F86">
        <w:t>, 574 U.S. 528, 543</w:t>
      </w:r>
      <w:r w:rsidR="006D38F6">
        <w:t>–</w:t>
      </w:r>
      <w:r w:rsidR="00441F86">
        <w:t>4</w:t>
      </w:r>
      <w:r w:rsidR="00B67633">
        <w:t>6</w:t>
      </w:r>
      <w:r w:rsidR="00441F86">
        <w:t xml:space="preserve"> (2015) (“tangible object” means “object used to record or preserve information” when used in connection with “record [or] document”)</w:t>
      </w:r>
      <w:r w:rsidR="005C4E41">
        <w:rPr>
          <w:rFonts w:cs="Arial"/>
        </w:rPr>
        <w:t>.</w:t>
      </w:r>
      <w:r w:rsidR="00C71FB5">
        <w:rPr>
          <w:rFonts w:cs="Arial"/>
        </w:rPr>
        <w:t xml:space="preserve"> The commenters do not </w:t>
      </w:r>
      <w:r w:rsidR="00441F86">
        <w:rPr>
          <w:rFonts w:cs="Arial"/>
        </w:rPr>
        <w:t>propose any characteristic common to nicotine and flavor</w:t>
      </w:r>
      <w:r w:rsidR="00AC2B6D">
        <w:rPr>
          <w:rFonts w:cs="Arial"/>
        </w:rPr>
        <w:t>. N</w:t>
      </w:r>
      <w:r w:rsidR="00441F86">
        <w:rPr>
          <w:rFonts w:cs="Arial"/>
        </w:rPr>
        <w:t xml:space="preserve">or do they </w:t>
      </w:r>
      <w:r w:rsidR="00C71FB5">
        <w:rPr>
          <w:rFonts w:cs="Arial"/>
        </w:rPr>
        <w:t>offer any examples of what things might share characteristics with</w:t>
      </w:r>
      <w:r w:rsidR="009F69E5">
        <w:rPr>
          <w:rFonts w:cs="Arial"/>
        </w:rPr>
        <w:t xml:space="preserve"> </w:t>
      </w:r>
      <w:r w:rsidR="00C71FB5">
        <w:rPr>
          <w:rFonts w:cs="Arial"/>
        </w:rPr>
        <w:t xml:space="preserve">nicotine and flavor </w:t>
      </w:r>
      <w:r w:rsidR="009D4545">
        <w:rPr>
          <w:rFonts w:cs="Arial"/>
        </w:rPr>
        <w:t xml:space="preserve">besides substances that themselves contain </w:t>
      </w:r>
      <w:r w:rsidR="00C71FB5">
        <w:rPr>
          <w:rFonts w:cs="Arial"/>
        </w:rPr>
        <w:t>nicotine and flavor</w:t>
      </w:r>
      <w:r w:rsidR="009F69E5">
        <w:rPr>
          <w:rFonts w:cs="Arial"/>
        </w:rPr>
        <w:t>. T</w:t>
      </w:r>
      <w:r w:rsidR="0032157A">
        <w:rPr>
          <w:rFonts w:cs="Arial"/>
        </w:rPr>
        <w:t xml:space="preserve">he impression </w:t>
      </w:r>
      <w:r w:rsidR="009F69E5">
        <w:rPr>
          <w:rFonts w:cs="Arial"/>
        </w:rPr>
        <w:t xml:space="preserve">left by these comments is </w:t>
      </w:r>
      <w:r w:rsidR="0032157A">
        <w:rPr>
          <w:rFonts w:cs="Arial"/>
        </w:rPr>
        <w:t xml:space="preserve">that their </w:t>
      </w:r>
      <w:r w:rsidR="003918B5">
        <w:rPr>
          <w:rFonts w:cs="Arial"/>
        </w:rPr>
        <w:t xml:space="preserve">proposals’ </w:t>
      </w:r>
      <w:r w:rsidR="0032157A">
        <w:rPr>
          <w:rFonts w:cs="Arial"/>
        </w:rPr>
        <w:t>chief import would be to render the catch-all “any other substance” a nullity</w:t>
      </w:r>
      <w:r w:rsidR="00356A25">
        <w:rPr>
          <w:rFonts w:cs="Arial"/>
        </w:rPr>
        <w:t xml:space="preserve">, </w:t>
      </w:r>
      <w:r w:rsidR="00BE7A05">
        <w:rPr>
          <w:rFonts w:cs="Arial"/>
        </w:rPr>
        <w:t xml:space="preserve">running headlong into </w:t>
      </w:r>
      <w:r w:rsidR="00356A25">
        <w:rPr>
          <w:rFonts w:cs="Arial"/>
        </w:rPr>
        <w:t>the canon against superfluities</w:t>
      </w:r>
      <w:r w:rsidR="0032157A">
        <w:rPr>
          <w:rFonts w:cs="Arial"/>
        </w:rPr>
        <w:t>.</w:t>
      </w:r>
      <w:r w:rsidR="00356A25">
        <w:rPr>
          <w:rFonts w:cs="Arial"/>
        </w:rPr>
        <w:t xml:space="preserve"> </w:t>
      </w:r>
      <w:r w:rsidR="005814CD" w:rsidRPr="005E6248">
        <w:rPr>
          <w:rFonts w:cs="Arial"/>
        </w:rPr>
        <w:t>See</w:t>
      </w:r>
      <w:r w:rsidR="005814CD">
        <w:rPr>
          <w:rFonts w:cs="Arial"/>
          <w:i/>
          <w:iCs/>
        </w:rPr>
        <w:t xml:space="preserve"> </w:t>
      </w:r>
      <w:r w:rsidR="00AC2B6D">
        <w:rPr>
          <w:rFonts w:cs="Arial"/>
        </w:rPr>
        <w:t>Singer &amp; Singer, 2</w:t>
      </w:r>
      <w:r w:rsidR="003A7B05">
        <w:rPr>
          <w:rFonts w:cs="Arial"/>
        </w:rPr>
        <w:t>A</w:t>
      </w:r>
      <w:r w:rsidR="00AC2B6D">
        <w:rPr>
          <w:rFonts w:cs="Arial"/>
        </w:rPr>
        <w:t xml:space="preserve"> Sutherland Statutes </w:t>
      </w:r>
      <w:r w:rsidR="006D38F6">
        <w:rPr>
          <w:rFonts w:cs="Arial"/>
        </w:rPr>
        <w:t xml:space="preserve">section </w:t>
      </w:r>
      <w:r w:rsidR="005814CD">
        <w:rPr>
          <w:rFonts w:cs="Arial"/>
        </w:rPr>
        <w:t>46:6</w:t>
      </w:r>
      <w:r w:rsidR="00012674">
        <w:rPr>
          <w:rFonts w:cs="Arial"/>
        </w:rPr>
        <w:t xml:space="preserve">; </w:t>
      </w:r>
      <w:r w:rsidR="0005226C">
        <w:rPr>
          <w:i/>
          <w:iCs/>
        </w:rPr>
        <w:t>Ali v. Fed. Bureau of Prisons</w:t>
      </w:r>
      <w:r w:rsidR="0005226C">
        <w:t>, 552 U.S. 214, 227 (2008)</w:t>
      </w:r>
      <w:r w:rsidR="005814CD">
        <w:rPr>
          <w:rFonts w:cs="Arial"/>
        </w:rPr>
        <w:t>.</w:t>
      </w:r>
      <w:r w:rsidR="005833E6">
        <w:rPr>
          <w:rFonts w:cs="Arial"/>
        </w:rPr>
        <w:t xml:space="preserve"> </w:t>
      </w:r>
    </w:p>
    <w:p w14:paraId="2EBCC3F7" w14:textId="5C7BB843" w:rsidR="00956498" w:rsidRDefault="003444E0" w:rsidP="00645C9C">
      <w:pPr>
        <w:shd w:val="clear" w:color="auto" w:fill="FFFFFF"/>
        <w:ind w:firstLine="720"/>
      </w:pPr>
      <w:r>
        <w:rPr>
          <w:rFonts w:cs="Arial"/>
        </w:rPr>
        <w:t>Moreover</w:t>
      </w:r>
      <w:r w:rsidR="0018345F">
        <w:rPr>
          <w:rFonts w:cs="Arial"/>
        </w:rPr>
        <w:t>, t</w:t>
      </w:r>
      <w:r w:rsidR="00C0606A">
        <w:rPr>
          <w:rFonts w:cs="Arial"/>
        </w:rPr>
        <w:t xml:space="preserve">he </w:t>
      </w:r>
      <w:r w:rsidR="007B0847">
        <w:rPr>
          <w:rFonts w:cs="Arial"/>
        </w:rPr>
        <w:t xml:space="preserve">ejusdem generis </w:t>
      </w:r>
      <w:r w:rsidR="00C0606A">
        <w:rPr>
          <w:rFonts w:cs="Arial"/>
        </w:rPr>
        <w:t>canon readily gives way “</w:t>
      </w:r>
      <w:r w:rsidR="00026CF7">
        <w:t xml:space="preserve">when the whole context dictates a different conclusion.” </w:t>
      </w:r>
      <w:r w:rsidR="00026CF7">
        <w:rPr>
          <w:i/>
          <w:iCs/>
        </w:rPr>
        <w:t>Norfolk &amp; Western Ry. Co. v. Am. Train Dispatchers Ass’n</w:t>
      </w:r>
      <w:r w:rsidR="00026CF7">
        <w:t>, 499 U.S. 117, 129 (1991)</w:t>
      </w:r>
      <w:r w:rsidR="00BE23AD">
        <w:t xml:space="preserve">; </w:t>
      </w:r>
      <w:r w:rsidR="00BE23AD" w:rsidRPr="005E6248">
        <w:t>see also</w:t>
      </w:r>
      <w:r w:rsidR="00BE23AD">
        <w:rPr>
          <w:i/>
          <w:iCs/>
        </w:rPr>
        <w:t xml:space="preserve"> Ali</w:t>
      </w:r>
      <w:r w:rsidR="00BE23AD">
        <w:t xml:space="preserve">, 552 U.S. </w:t>
      </w:r>
      <w:r w:rsidR="0005226C">
        <w:t>at 227</w:t>
      </w:r>
      <w:r w:rsidR="00BE23AD">
        <w:t xml:space="preserve"> (“</w:t>
      </w:r>
      <w:r w:rsidR="009966DA">
        <w:t>we do not woodenly apply limiting principles every time Congress includes a specific example along with a general phrase</w:t>
      </w:r>
      <w:r w:rsidR="00BE23AD">
        <w:t>”)</w:t>
      </w:r>
      <w:r w:rsidR="00026CF7">
        <w:t xml:space="preserve">. </w:t>
      </w:r>
      <w:r w:rsidR="00C7143A">
        <w:t xml:space="preserve">Here, </w:t>
      </w:r>
      <w:r w:rsidR="00D96AA9">
        <w:t>Congress</w:t>
      </w:r>
      <w:r w:rsidR="007C0A65">
        <w:t xml:space="preserve">’s enumeration demonstrates </w:t>
      </w:r>
      <w:r w:rsidR="00D96AA9">
        <w:t>its intent to include non-nicotine-containing substances within the scope of nonmailable ENDS</w:t>
      </w:r>
      <w:r w:rsidR="003F59B4">
        <w:t xml:space="preserve">: the definition includes </w:t>
      </w:r>
      <w:r w:rsidR="007C0A65">
        <w:t xml:space="preserve">solutions containing </w:t>
      </w:r>
      <w:r w:rsidR="003F59B4">
        <w:t>“nicotine”</w:t>
      </w:r>
      <w:r w:rsidR="007C0A65">
        <w:t xml:space="preserve"> as well as</w:t>
      </w:r>
      <w:r w:rsidR="00217662">
        <w:t xml:space="preserve">—separately and </w:t>
      </w:r>
      <w:r w:rsidR="000A7ED4">
        <w:t xml:space="preserve">thus </w:t>
      </w:r>
      <w:r w:rsidR="00217662">
        <w:t xml:space="preserve">independent of </w:t>
      </w:r>
      <w:r w:rsidR="007C0A65">
        <w:t>any nicotine content</w:t>
      </w:r>
      <w:r w:rsidR="000A7ED4">
        <w:t>—</w:t>
      </w:r>
      <w:r w:rsidR="007C0A65">
        <w:t xml:space="preserve">those containing “flavor.” </w:t>
      </w:r>
      <w:r w:rsidR="000A7ED4">
        <w:t xml:space="preserve">Thus, </w:t>
      </w:r>
      <w:r w:rsidR="00DB3C98">
        <w:t xml:space="preserve">despite </w:t>
      </w:r>
      <w:r w:rsidR="000A7ED4">
        <w:t xml:space="preserve">the </w:t>
      </w:r>
      <w:r w:rsidR="00DB3C98">
        <w:t xml:space="preserve">focus on </w:t>
      </w:r>
      <w:r w:rsidR="003250A9">
        <w:t xml:space="preserve">nicotine in the shorthand </w:t>
      </w:r>
      <w:r w:rsidR="003250A9">
        <w:lastRenderedPageBreak/>
        <w:t>term “electronic nicotine delivery system</w:t>
      </w:r>
      <w:r w:rsidR="00DB3C98">
        <w:t>,</w:t>
      </w:r>
      <w:r w:rsidR="003250A9">
        <w:t>”</w:t>
      </w:r>
      <w:r w:rsidR="00DB3C98">
        <w:t xml:space="preserve"> </w:t>
      </w:r>
      <w:r w:rsidR="00BF71F2">
        <w:t xml:space="preserve">the explicit listing of “flavor” shows that </w:t>
      </w:r>
      <w:r w:rsidR="00DB3C98">
        <w:t xml:space="preserve">Congress intended the scope of covered ENDS products to cover </w:t>
      </w:r>
      <w:r w:rsidR="00BF71F2">
        <w:t>some substances that do not contain nicotine</w:t>
      </w:r>
      <w:r w:rsidR="00E95E58">
        <w:t>. T</w:t>
      </w:r>
      <w:r w:rsidR="007C0A65">
        <w:t xml:space="preserve">his enumeration strengthens, rather than weakens, the </w:t>
      </w:r>
      <w:r w:rsidR="00E95E58">
        <w:t xml:space="preserve">ordinary </w:t>
      </w:r>
      <w:r w:rsidR="00FF5692">
        <w:t xml:space="preserve">inference that “any other substance” </w:t>
      </w:r>
      <w:r w:rsidR="00217662">
        <w:t>extends</w:t>
      </w:r>
      <w:r w:rsidR="00FF5692">
        <w:t xml:space="preserve"> </w:t>
      </w:r>
      <w:r w:rsidR="000A7ED4">
        <w:t xml:space="preserve">to </w:t>
      </w:r>
      <w:r w:rsidR="00FF5692">
        <w:t>non-nicotine substances</w:t>
      </w:r>
      <w:r w:rsidR="00EA69AE">
        <w:t xml:space="preserve">. </w:t>
      </w:r>
      <w:r w:rsidR="00EA69AE" w:rsidRPr="005E6248">
        <w:t>Cf.</w:t>
      </w:r>
      <w:r w:rsidR="00EA69AE">
        <w:rPr>
          <w:i/>
          <w:iCs/>
        </w:rPr>
        <w:t xml:space="preserve"> Norfolk &amp; Western Ry.</w:t>
      </w:r>
      <w:r w:rsidR="00EA69AE">
        <w:t>, 499 U.S. at 129 (</w:t>
      </w:r>
      <w:r w:rsidR="00950C28">
        <w:t>“all other law”</w:t>
      </w:r>
      <w:r w:rsidR="00103B5E">
        <w:t xml:space="preserve"> in exemption means that “[a] carrier is exempt from </w:t>
      </w:r>
      <w:r w:rsidR="00103B5E">
        <w:rPr>
          <w:u w:val="single"/>
        </w:rPr>
        <w:t>all law</w:t>
      </w:r>
      <w:r w:rsidR="00103B5E">
        <w:t xml:space="preserve">,” </w:t>
      </w:r>
      <w:r w:rsidR="00F26EEE">
        <w:t>with enumeration of antitrust law serving merely to overcome presumptions against its inclusion</w:t>
      </w:r>
      <w:r w:rsidR="00EA69AE">
        <w:t>).</w:t>
      </w:r>
    </w:p>
    <w:p w14:paraId="60086AF2" w14:textId="663E9C2A" w:rsidR="00645C9C" w:rsidRPr="008147C6" w:rsidRDefault="008147C6" w:rsidP="00645C9C">
      <w:pPr>
        <w:shd w:val="clear" w:color="auto" w:fill="FFFFFF"/>
        <w:ind w:firstLine="720"/>
      </w:pPr>
      <w:r>
        <w:t xml:space="preserve">As in </w:t>
      </w:r>
      <w:r>
        <w:rPr>
          <w:i/>
          <w:iCs/>
        </w:rPr>
        <w:t>Norfolk &amp; Western</w:t>
      </w:r>
      <w:r>
        <w:t xml:space="preserve">, the </w:t>
      </w:r>
      <w:r w:rsidR="00CF3CB1">
        <w:t xml:space="preserve">enumeration here, with its lack of any reasonably salient shared characteristic among “nicotine” and “flavor,” </w:t>
      </w:r>
      <w:r w:rsidR="001B4BF4">
        <w:t xml:space="preserve">implies that Congress intended covered ENDS </w:t>
      </w:r>
      <w:r w:rsidR="00C316FD">
        <w:t>products</w:t>
      </w:r>
      <w:r w:rsidR="001B4BF4">
        <w:t xml:space="preserve"> to be those used to deliver any substance, </w:t>
      </w:r>
      <w:r w:rsidR="00D412F0">
        <w:t>with nicotine and flavor indicated expressly as examples</w:t>
      </w:r>
      <w:r w:rsidR="00956498">
        <w:t xml:space="preserve">. The framers may have </w:t>
      </w:r>
      <w:r w:rsidR="002F33C6">
        <w:t xml:space="preserve">believed that “nicotine” was necessary to justify the use of the shorthand term “electronic nicotine delivery systems,” and/or that listing “nicotine” and “flavor” would most clearly evince the aim of combating youth access to </w:t>
      </w:r>
      <w:r w:rsidR="00385A57">
        <w:t>nicotine products.</w:t>
      </w:r>
      <w:r w:rsidR="00B76075">
        <w:t xml:space="preserve"> As discussed in section </w:t>
      </w:r>
      <w:r w:rsidR="00B76075" w:rsidRPr="0022072C">
        <w:t>III.D.1.i</w:t>
      </w:r>
      <w:r w:rsidR="00E32D69" w:rsidRPr="0022072C">
        <w:t>ii</w:t>
      </w:r>
      <w:r w:rsidR="00B76075">
        <w:t xml:space="preserve">, </w:t>
      </w:r>
      <w:r w:rsidR="000D0F09">
        <w:t>youth access</w:t>
      </w:r>
      <w:r w:rsidR="00B76075">
        <w:t xml:space="preserve"> was </w:t>
      </w:r>
      <w:r w:rsidR="000D0F09">
        <w:t xml:space="preserve">certainly </w:t>
      </w:r>
      <w:r w:rsidR="00B76075">
        <w:t xml:space="preserve">a major </w:t>
      </w:r>
      <w:r w:rsidR="00FF039E">
        <w:t xml:space="preserve">focus of the framers’ concern, albeit far from their exclusive focus: hence their expressed intent not to limit the statute to </w:t>
      </w:r>
      <w:r w:rsidR="005C42D8">
        <w:t>“nicotine or flavor.”</w:t>
      </w:r>
    </w:p>
    <w:p w14:paraId="0F07902E" w14:textId="17D8789D" w:rsidR="00F4349D" w:rsidRDefault="007C0C58" w:rsidP="00FD29E0">
      <w:pPr>
        <w:shd w:val="clear" w:color="auto" w:fill="FFFFFF"/>
        <w:ind w:firstLine="720"/>
        <w:rPr>
          <w:rFonts w:cs="Arial"/>
        </w:rPr>
      </w:pPr>
      <w:r>
        <w:rPr>
          <w:rFonts w:cs="Arial"/>
        </w:rPr>
        <w:t>The statute here is clear on its face</w:t>
      </w:r>
      <w:r w:rsidR="00E6612C">
        <w:rPr>
          <w:rFonts w:cs="Arial"/>
        </w:rPr>
        <w:t>: “any other substance” means “any other substance</w:t>
      </w:r>
      <w:r w:rsidR="00564E76">
        <w:rPr>
          <w:rFonts w:cs="Arial"/>
        </w:rPr>
        <w:t>,</w:t>
      </w:r>
      <w:r w:rsidR="00E6612C">
        <w:rPr>
          <w:rFonts w:cs="Arial"/>
        </w:rPr>
        <w:t>”</w:t>
      </w:r>
      <w:r w:rsidR="00564E76">
        <w:rPr>
          <w:rFonts w:cs="Arial"/>
        </w:rPr>
        <w:t xml:space="preserve"> limited</w:t>
      </w:r>
      <w:r w:rsidR="003F1536">
        <w:rPr>
          <w:rFonts w:cs="Arial"/>
        </w:rPr>
        <w:t xml:space="preserve"> not by some dubiously inferred principle</w:t>
      </w:r>
      <w:r w:rsidR="00564E76">
        <w:rPr>
          <w:rFonts w:cs="Arial"/>
        </w:rPr>
        <w:t xml:space="preserve"> </w:t>
      </w:r>
      <w:r w:rsidR="003F1536">
        <w:rPr>
          <w:rFonts w:cs="Arial"/>
        </w:rPr>
        <w:t xml:space="preserve">but </w:t>
      </w:r>
      <w:r w:rsidR="00564E76">
        <w:rPr>
          <w:rFonts w:cs="Arial"/>
        </w:rPr>
        <w:t>explicit</w:t>
      </w:r>
      <w:r w:rsidR="006B5A27">
        <w:rPr>
          <w:rFonts w:cs="Arial"/>
        </w:rPr>
        <w:t>ly by the surrounding</w:t>
      </w:r>
      <w:r w:rsidR="00564E76">
        <w:rPr>
          <w:rFonts w:cs="Arial"/>
        </w:rPr>
        <w:t xml:space="preserve"> </w:t>
      </w:r>
      <w:r w:rsidR="006B5A27">
        <w:rPr>
          <w:rFonts w:cs="Arial"/>
        </w:rPr>
        <w:t>text</w:t>
      </w:r>
      <w:r w:rsidR="003F1536">
        <w:rPr>
          <w:rFonts w:cs="Arial"/>
        </w:rPr>
        <w:t>, which confines the scope to</w:t>
      </w:r>
      <w:r w:rsidR="006B5A27">
        <w:rPr>
          <w:rFonts w:cs="Arial"/>
        </w:rPr>
        <w:t xml:space="preserve"> </w:t>
      </w:r>
      <w:r w:rsidR="00564E76">
        <w:rPr>
          <w:rFonts w:cs="Arial"/>
        </w:rPr>
        <w:t xml:space="preserve">substances delivered </w:t>
      </w:r>
      <w:r w:rsidR="00FC5176">
        <w:rPr>
          <w:rFonts w:cs="Arial"/>
        </w:rPr>
        <w:t xml:space="preserve">from an electronic device </w:t>
      </w:r>
      <w:r w:rsidR="00564E76">
        <w:rPr>
          <w:rFonts w:cs="Arial"/>
        </w:rPr>
        <w:t xml:space="preserve">to </w:t>
      </w:r>
      <w:r w:rsidR="00FC5176">
        <w:rPr>
          <w:rFonts w:cs="Arial"/>
        </w:rPr>
        <w:t xml:space="preserve">an </w:t>
      </w:r>
      <w:r w:rsidR="00564E76">
        <w:rPr>
          <w:rFonts w:cs="Arial"/>
        </w:rPr>
        <w:t xml:space="preserve">inhaling user via an </w:t>
      </w:r>
      <w:r w:rsidR="00FC5176">
        <w:rPr>
          <w:rFonts w:cs="Arial"/>
        </w:rPr>
        <w:t>aerosolized solution.</w:t>
      </w:r>
      <w:r w:rsidR="005833E6">
        <w:rPr>
          <w:rFonts w:cs="Arial"/>
        </w:rPr>
        <w:t xml:space="preserve"> </w:t>
      </w:r>
      <w:r w:rsidR="00363035">
        <w:rPr>
          <w:rFonts w:cs="Arial"/>
        </w:rPr>
        <w:t xml:space="preserve">Given that the enumerated list already includes </w:t>
      </w:r>
      <w:r w:rsidR="006F1B84">
        <w:rPr>
          <w:rFonts w:cs="Arial"/>
        </w:rPr>
        <w:t xml:space="preserve">one non-nicotine substance (“flavor,” as an alternative to nicotine), it cannot be said that other non-nicotine substances are </w:t>
      </w:r>
      <w:r w:rsidR="008D19F0">
        <w:rPr>
          <w:rFonts w:cs="Arial"/>
        </w:rPr>
        <w:lastRenderedPageBreak/>
        <w:t>“</w:t>
      </w:r>
      <w:r w:rsidR="006F1B84">
        <w:rPr>
          <w:rFonts w:cs="Arial"/>
        </w:rPr>
        <w:t xml:space="preserve">as </w:t>
      </w:r>
      <w:r w:rsidR="008D19F0">
        <w:rPr>
          <w:rFonts w:cs="Arial"/>
        </w:rPr>
        <w:t xml:space="preserve">dissimilar [from the enumerated items] as </w:t>
      </w:r>
      <w:r w:rsidR="00BC5C95">
        <w:rPr>
          <w:rFonts w:cs="Arial"/>
        </w:rPr>
        <w:t>documents and fish.</w:t>
      </w:r>
      <w:r w:rsidR="001D332E">
        <w:rPr>
          <w:rFonts w:cs="Arial"/>
        </w:rPr>
        <w:t>”</w:t>
      </w:r>
      <w:r w:rsidR="00BC5C95">
        <w:rPr>
          <w:rFonts w:cs="Arial"/>
        </w:rPr>
        <w:t xml:space="preserve"> </w:t>
      </w:r>
      <w:r w:rsidR="00BC5C95" w:rsidRPr="005E6248">
        <w:rPr>
          <w:rFonts w:cs="Arial"/>
        </w:rPr>
        <w:t>See</w:t>
      </w:r>
      <w:r w:rsidR="00BC5C95">
        <w:rPr>
          <w:rFonts w:cs="Arial"/>
          <w:i/>
          <w:iCs/>
        </w:rPr>
        <w:t xml:space="preserve"> </w:t>
      </w:r>
      <w:r w:rsidR="00BC5C95" w:rsidRPr="00BC5C95">
        <w:rPr>
          <w:rFonts w:cs="Arial"/>
          <w:i/>
          <w:iCs/>
        </w:rPr>
        <w:t>Yates</w:t>
      </w:r>
      <w:r w:rsidR="00BC5C95">
        <w:rPr>
          <w:rFonts w:cs="Arial"/>
        </w:rPr>
        <w:t xml:space="preserve">, </w:t>
      </w:r>
      <w:r w:rsidR="008D19F0">
        <w:rPr>
          <w:rFonts w:cs="Arial"/>
        </w:rPr>
        <w:t>574 U.S. at 54</w:t>
      </w:r>
      <w:r w:rsidR="00DE12AF">
        <w:rPr>
          <w:rFonts w:cs="Arial"/>
        </w:rPr>
        <w:t xml:space="preserve">6; </w:t>
      </w:r>
      <w:r w:rsidR="00DE12AF">
        <w:rPr>
          <w:rFonts w:cs="Arial"/>
          <w:i/>
          <w:iCs/>
        </w:rPr>
        <w:t>id.</w:t>
      </w:r>
      <w:r w:rsidR="00DE12AF">
        <w:rPr>
          <w:rFonts w:cs="Arial"/>
        </w:rPr>
        <w:t xml:space="preserve"> at 550 </w:t>
      </w:r>
      <w:r w:rsidR="00777E09">
        <w:rPr>
          <w:rFonts w:cs="Arial"/>
        </w:rPr>
        <w:t>(Alito, J., concurring)</w:t>
      </w:r>
      <w:r w:rsidR="00BC5C95">
        <w:rPr>
          <w:rFonts w:cs="Arial"/>
        </w:rPr>
        <w:t xml:space="preserve">. </w:t>
      </w:r>
      <w:r w:rsidR="006A01FF">
        <w:rPr>
          <w:rFonts w:cs="Arial"/>
        </w:rPr>
        <w:t>In effect, the commenters</w:t>
      </w:r>
      <w:r w:rsidR="003C38B5">
        <w:rPr>
          <w:rFonts w:cs="Arial"/>
        </w:rPr>
        <w:t>’</w:t>
      </w:r>
      <w:r w:rsidR="00A52654">
        <w:rPr>
          <w:rFonts w:cs="Arial"/>
        </w:rPr>
        <w:t xml:space="preserve"> invocation of</w:t>
      </w:r>
      <w:r w:rsidR="006A01FF">
        <w:rPr>
          <w:rFonts w:cs="Arial"/>
        </w:rPr>
        <w:t xml:space="preserve"> </w:t>
      </w:r>
      <w:r w:rsidR="002F06EB">
        <w:rPr>
          <w:rFonts w:cs="Arial"/>
        </w:rPr>
        <w:t xml:space="preserve">the </w:t>
      </w:r>
      <w:r w:rsidR="00A52654">
        <w:rPr>
          <w:rFonts w:cs="Arial"/>
        </w:rPr>
        <w:t xml:space="preserve">ejusdem generis principle is </w:t>
      </w:r>
      <w:r w:rsidR="002F06EB">
        <w:rPr>
          <w:rFonts w:cs="Arial"/>
        </w:rPr>
        <w:t xml:space="preserve">an effort </w:t>
      </w:r>
      <w:r w:rsidR="00812B0A">
        <w:rPr>
          <w:rFonts w:cs="Arial"/>
        </w:rPr>
        <w:t>t</w:t>
      </w:r>
      <w:r w:rsidR="002F06EB">
        <w:rPr>
          <w:rFonts w:cs="Arial"/>
        </w:rPr>
        <w:t xml:space="preserve">o create ambiguity where </w:t>
      </w:r>
      <w:r w:rsidR="00E6612C">
        <w:rPr>
          <w:rFonts w:cs="Arial"/>
        </w:rPr>
        <w:t>none exists</w:t>
      </w:r>
      <w:r w:rsidR="00ED1353">
        <w:rPr>
          <w:rFonts w:cs="Arial"/>
        </w:rPr>
        <w:t xml:space="preserve">, </w:t>
      </w:r>
      <w:r w:rsidR="0092143A">
        <w:rPr>
          <w:rFonts w:cs="Arial"/>
        </w:rPr>
        <w:t xml:space="preserve">and so </w:t>
      </w:r>
      <w:r w:rsidR="00ED1353">
        <w:rPr>
          <w:rFonts w:cs="Arial"/>
        </w:rPr>
        <w:t xml:space="preserve">there is no occasion to resort to it here. </w:t>
      </w:r>
      <w:r w:rsidR="00ED1353" w:rsidRPr="005E6248">
        <w:rPr>
          <w:rFonts w:cs="Arial"/>
        </w:rPr>
        <w:t>See</w:t>
      </w:r>
      <w:r w:rsidR="00ED1353">
        <w:rPr>
          <w:rFonts w:cs="Arial"/>
          <w:i/>
          <w:iCs/>
        </w:rPr>
        <w:t xml:space="preserve"> </w:t>
      </w:r>
      <w:r w:rsidR="001920A1">
        <w:rPr>
          <w:rFonts w:cs="Arial"/>
          <w:i/>
          <w:iCs/>
        </w:rPr>
        <w:t>Ali</w:t>
      </w:r>
      <w:r w:rsidR="001920A1">
        <w:rPr>
          <w:rFonts w:cs="Arial"/>
        </w:rPr>
        <w:t xml:space="preserve">, 552 U.S. at 227; </w:t>
      </w:r>
      <w:r w:rsidR="007E3AB1">
        <w:rPr>
          <w:rFonts w:cs="Arial"/>
          <w:i/>
          <w:iCs/>
        </w:rPr>
        <w:t xml:space="preserve">United States v. </w:t>
      </w:r>
      <w:proofErr w:type="spellStart"/>
      <w:r w:rsidR="007E3AB1">
        <w:rPr>
          <w:rFonts w:cs="Arial"/>
          <w:i/>
          <w:iCs/>
        </w:rPr>
        <w:t>Turkette</w:t>
      </w:r>
      <w:proofErr w:type="spellEnd"/>
      <w:r w:rsidR="007E3AB1">
        <w:rPr>
          <w:rFonts w:cs="Arial"/>
        </w:rPr>
        <w:t>, 452 U.S. 576, 581 (1981).</w:t>
      </w:r>
    </w:p>
    <w:p w14:paraId="2ADCDE6B" w14:textId="6A8E8F73" w:rsidR="003918B5" w:rsidRPr="00A969E9" w:rsidRDefault="003918B5" w:rsidP="00FD29E0">
      <w:pPr>
        <w:shd w:val="clear" w:color="auto" w:fill="FFFFFF"/>
        <w:ind w:firstLine="720"/>
        <w:rPr>
          <w:rFonts w:cs="Arial"/>
        </w:rPr>
      </w:pPr>
      <w:r>
        <w:t xml:space="preserve">Finally, the second commenter’s alternative hypothesis that Congress may have intended “any other substance” to encompass non-nicotine and non-flavor substances, but only in connection with e-cigarette devices, finds no support in the statute. </w:t>
      </w:r>
      <w:r w:rsidR="00A06755">
        <w:t xml:space="preserve">The </w:t>
      </w:r>
      <w:r w:rsidR="000176BF">
        <w:t xml:space="preserve">phrase </w:t>
      </w:r>
      <w:r w:rsidR="00A06755">
        <w:t>“</w:t>
      </w:r>
      <w:r w:rsidR="000176BF">
        <w:t xml:space="preserve">delivers </w:t>
      </w:r>
      <w:r w:rsidR="00A06755">
        <w:t xml:space="preserve">nicotine, flavor, or any other substance” appears in the definition’s opening paragraph, which establishes the qualifying parameters for all covered ENDS </w:t>
      </w:r>
      <w:r w:rsidR="0092143A">
        <w:t>products</w:t>
      </w:r>
      <w:r w:rsidR="00A06755">
        <w:t xml:space="preserve">, without </w:t>
      </w:r>
      <w:r w:rsidR="00327DAC">
        <w:t xml:space="preserve">differentiation as to </w:t>
      </w:r>
      <w:r w:rsidR="00A06755">
        <w:t xml:space="preserve">any </w:t>
      </w:r>
      <w:proofErr w:type="gramStart"/>
      <w:r w:rsidR="00A06755">
        <w:t xml:space="preserve">particular </w:t>
      </w:r>
      <w:r w:rsidR="00327DAC">
        <w:t>species</w:t>
      </w:r>
      <w:proofErr w:type="gramEnd"/>
      <w:r w:rsidR="00327DAC">
        <w:t xml:space="preserve"> </w:t>
      </w:r>
      <w:r w:rsidR="00A06755">
        <w:t xml:space="preserve">of ENDS device. 15 U.S.C. 375(7)(A). The next paragraph </w:t>
      </w:r>
      <w:r w:rsidR="00A969E9">
        <w:t xml:space="preserve">offers an illustrative list of </w:t>
      </w:r>
      <w:r w:rsidR="000176BF">
        <w:t>various devices that are included within the definition</w:t>
      </w:r>
      <w:r w:rsidR="00A969E9">
        <w:t xml:space="preserve">, such as an e-cigarette, e-hookah, e-cigar, or vape pen. </w:t>
      </w:r>
      <w:r w:rsidR="00A969E9">
        <w:rPr>
          <w:i/>
          <w:iCs/>
        </w:rPr>
        <w:t>Id.</w:t>
      </w:r>
      <w:r w:rsidR="00A969E9">
        <w:t xml:space="preserve"> at (B). </w:t>
      </w:r>
      <w:r w:rsidR="007D19D4">
        <w:t>Nothing in either paragraph ties the phrase “any other substance” exclusively to e-cigarette</w:t>
      </w:r>
      <w:r w:rsidR="0062220F">
        <w:t xml:space="preserve"> devices</w:t>
      </w:r>
      <w:r w:rsidR="007D19D4">
        <w:t xml:space="preserve">. Absent such an indication, a plain reading of the statute indicates that </w:t>
      </w:r>
      <w:r w:rsidR="007B7965">
        <w:t xml:space="preserve">any of the listed devices, along with any part, component, liquid, or accessory of the device, qualifies as an ENDS if it is used to deliver any </w:t>
      </w:r>
      <w:r w:rsidR="004F51CE">
        <w:t xml:space="preserve">substance through an aerosolized solution, whether or not </w:t>
      </w:r>
      <w:r w:rsidR="00FD142E">
        <w:t xml:space="preserve">the substance is or contains </w:t>
      </w:r>
      <w:r w:rsidR="004F51CE">
        <w:t>nicotine or flavor.</w:t>
      </w:r>
    </w:p>
    <w:p w14:paraId="0275C953" w14:textId="089343A3" w:rsidR="00B31555" w:rsidRPr="006F5D98" w:rsidRDefault="008708FA" w:rsidP="00FE6779">
      <w:pPr>
        <w:ind w:left="1440" w:firstLine="720"/>
        <w:rPr>
          <w:bCs/>
        </w:rPr>
      </w:pPr>
      <w:r w:rsidRPr="00FE6779">
        <w:rPr>
          <w:b/>
          <w:bCs/>
        </w:rPr>
        <w:t>ii.</w:t>
      </w:r>
      <w:r w:rsidRPr="00FE6779">
        <w:rPr>
          <w:b/>
          <w:bCs/>
        </w:rPr>
        <w:tab/>
      </w:r>
      <w:bookmarkStart w:id="20" w:name="_Toc79569807"/>
      <w:r w:rsidR="00B31555" w:rsidRPr="00FE6779">
        <w:rPr>
          <w:b/>
          <w:bCs/>
        </w:rPr>
        <w:t>Relation to Listed Devices</w:t>
      </w:r>
      <w:bookmarkEnd w:id="20"/>
    </w:p>
    <w:p w14:paraId="2A68684B" w14:textId="5D727F4A" w:rsidR="00B31555" w:rsidRPr="0027619B" w:rsidRDefault="0027619B" w:rsidP="00FD29E0">
      <w:pPr>
        <w:shd w:val="clear" w:color="auto" w:fill="FFFFFF"/>
        <w:ind w:firstLine="720"/>
        <w:rPr>
          <w:rFonts w:cs="Arial"/>
        </w:rPr>
      </w:pPr>
      <w:r>
        <w:rPr>
          <w:rFonts w:cs="Arial"/>
        </w:rPr>
        <w:t xml:space="preserve">One ENDS industry commenter attempted to enlist a second canon of construction: </w:t>
      </w:r>
      <w:r w:rsidRPr="005E6248">
        <w:rPr>
          <w:rFonts w:cs="Arial"/>
        </w:rPr>
        <w:t>noscitur a sociis</w:t>
      </w:r>
      <w:r>
        <w:rPr>
          <w:rFonts w:cs="Arial"/>
        </w:rPr>
        <w:t xml:space="preserve">, </w:t>
      </w:r>
      <w:r w:rsidR="0055327C">
        <w:rPr>
          <w:rFonts w:cs="Arial"/>
        </w:rPr>
        <w:t xml:space="preserve">whereby “doubtful words in an ambiguous statute </w:t>
      </w:r>
      <w:r w:rsidR="007A56D2">
        <w:rPr>
          <w:rFonts w:cs="Arial"/>
        </w:rPr>
        <w:lastRenderedPageBreak/>
        <w:t>[are] given more precise content by the neighboring words with which [they are] associated</w:t>
      </w:r>
      <w:r w:rsidR="0055327C">
        <w:rPr>
          <w:rFonts w:cs="Arial"/>
        </w:rPr>
        <w:t>.”</w:t>
      </w:r>
      <w:r w:rsidR="007A56D2">
        <w:rPr>
          <w:rFonts w:cs="Arial"/>
        </w:rPr>
        <w:t xml:space="preserve"> </w:t>
      </w:r>
      <w:r w:rsidR="001D4BBA">
        <w:rPr>
          <w:rFonts w:cs="Arial"/>
        </w:rPr>
        <w:t xml:space="preserve">Singer &amp; Singer, 2A Sutherland Statutes </w:t>
      </w:r>
      <w:r w:rsidR="006D38F6">
        <w:rPr>
          <w:rFonts w:cs="Arial"/>
        </w:rPr>
        <w:t xml:space="preserve">section </w:t>
      </w:r>
      <w:r w:rsidR="001D4BBA">
        <w:rPr>
          <w:rFonts w:cs="Arial"/>
        </w:rPr>
        <w:t xml:space="preserve">47:16. </w:t>
      </w:r>
      <w:r w:rsidR="00D00382">
        <w:rPr>
          <w:rFonts w:cs="Arial"/>
        </w:rPr>
        <w:t>The commenter proposed that “any other substance” be construed in light of the list of included devices in 15 U.S.C. 375(7)(B), which</w:t>
      </w:r>
      <w:r w:rsidR="00725CEC">
        <w:rPr>
          <w:rFonts w:cs="Arial"/>
        </w:rPr>
        <w:t>, the commenter claimed, “can only be used with nicotine-based products.”</w:t>
      </w:r>
      <w:r w:rsidR="00547ED3">
        <w:rPr>
          <w:rFonts w:cs="Arial"/>
        </w:rPr>
        <w:t xml:space="preserve"> The commenter </w:t>
      </w:r>
      <w:r w:rsidR="00785B21">
        <w:rPr>
          <w:rFonts w:cs="Arial"/>
        </w:rPr>
        <w:t>further asserted that a nicotine-focused construction would be consistent with the FDA and CDC’s construction of the term “ENDS.”</w:t>
      </w:r>
    </w:p>
    <w:p w14:paraId="4958B0E0" w14:textId="54620372" w:rsidR="0027619B" w:rsidRDefault="00785B21" w:rsidP="00FD29E0">
      <w:pPr>
        <w:shd w:val="clear" w:color="auto" w:fill="FFFFFF"/>
        <w:ind w:firstLine="720"/>
        <w:rPr>
          <w:rFonts w:cs="Arial"/>
        </w:rPr>
      </w:pPr>
      <w:r>
        <w:rPr>
          <w:rFonts w:cs="Arial"/>
        </w:rPr>
        <w:t xml:space="preserve">This argument, too, founders </w:t>
      </w:r>
      <w:r w:rsidR="0052343D">
        <w:rPr>
          <w:rFonts w:cs="Arial"/>
        </w:rPr>
        <w:t xml:space="preserve">for </w:t>
      </w:r>
      <w:r>
        <w:rPr>
          <w:rFonts w:cs="Arial"/>
        </w:rPr>
        <w:t xml:space="preserve">multiple </w:t>
      </w:r>
      <w:r w:rsidR="0052343D">
        <w:rPr>
          <w:rFonts w:cs="Arial"/>
        </w:rPr>
        <w:t>reasons</w:t>
      </w:r>
      <w:r>
        <w:rPr>
          <w:rFonts w:cs="Arial"/>
        </w:rPr>
        <w:t xml:space="preserve">. First, </w:t>
      </w:r>
      <w:r w:rsidR="008549F9">
        <w:rPr>
          <w:rFonts w:cs="Arial"/>
        </w:rPr>
        <w:t>the canon</w:t>
      </w:r>
      <w:r w:rsidR="006239FB">
        <w:rPr>
          <w:rFonts w:cs="Arial"/>
        </w:rPr>
        <w:t xml:space="preserve"> overlaps heavily with </w:t>
      </w:r>
      <w:r w:rsidR="006239FB" w:rsidRPr="005E6248">
        <w:rPr>
          <w:rFonts w:cs="Arial"/>
        </w:rPr>
        <w:t>ejusdem generis</w:t>
      </w:r>
      <w:r w:rsidR="006239FB">
        <w:rPr>
          <w:rFonts w:cs="Arial"/>
        </w:rPr>
        <w:t xml:space="preserve"> and</w:t>
      </w:r>
      <w:r w:rsidR="008549F9">
        <w:rPr>
          <w:rFonts w:cs="Arial"/>
        </w:rPr>
        <w:t xml:space="preserve"> “does not apply absent ambiguity, </w:t>
      </w:r>
      <w:r w:rsidR="006239FB">
        <w:rPr>
          <w:rFonts w:cs="Arial"/>
        </w:rPr>
        <w:t xml:space="preserve">or to thwart legislative intent, or to make general words meaningless.” </w:t>
      </w:r>
      <w:r w:rsidR="006239FB">
        <w:rPr>
          <w:rFonts w:cs="Arial"/>
          <w:i/>
          <w:iCs/>
        </w:rPr>
        <w:t>Id.</w:t>
      </w:r>
      <w:r w:rsidR="00B81614">
        <w:rPr>
          <w:rFonts w:cs="Arial"/>
        </w:rPr>
        <w:t xml:space="preserve">; </w:t>
      </w:r>
      <w:r w:rsidR="004156AB">
        <w:rPr>
          <w:rFonts w:cs="Arial"/>
        </w:rPr>
        <w:t xml:space="preserve">see, </w:t>
      </w:r>
      <w:r w:rsidR="00B81614" w:rsidRPr="005E6248">
        <w:rPr>
          <w:rFonts w:cs="Arial"/>
        </w:rPr>
        <w:t>e.g.,</w:t>
      </w:r>
      <w:r w:rsidR="00B81614">
        <w:rPr>
          <w:rFonts w:cs="Arial"/>
        </w:rPr>
        <w:t xml:space="preserve"> </w:t>
      </w:r>
      <w:r w:rsidR="00B81614">
        <w:rPr>
          <w:rFonts w:cs="Arial"/>
          <w:i/>
          <w:iCs/>
        </w:rPr>
        <w:t>Yates v. United States</w:t>
      </w:r>
      <w:r w:rsidR="00B81614">
        <w:rPr>
          <w:rFonts w:cs="Arial"/>
        </w:rPr>
        <w:t xml:space="preserve">, </w:t>
      </w:r>
      <w:r w:rsidR="00F07964">
        <w:rPr>
          <w:rFonts w:cs="Arial"/>
        </w:rPr>
        <w:t xml:space="preserve">574 U.S. 528, </w:t>
      </w:r>
      <w:r w:rsidR="004156AB">
        <w:rPr>
          <w:rFonts w:cs="Arial"/>
        </w:rPr>
        <w:t>564</w:t>
      </w:r>
      <w:r w:rsidR="00F07964">
        <w:rPr>
          <w:rFonts w:cs="Arial"/>
        </w:rPr>
        <w:t xml:space="preserve"> (2015)</w:t>
      </w:r>
      <w:r w:rsidR="004156AB">
        <w:rPr>
          <w:rFonts w:cs="Arial"/>
        </w:rPr>
        <w:t xml:space="preserve"> (Kagan, J., dissenting) (citing </w:t>
      </w:r>
      <w:r w:rsidR="004156AB">
        <w:rPr>
          <w:rFonts w:cs="Arial"/>
          <w:i/>
          <w:iCs/>
        </w:rPr>
        <w:t>Ali</w:t>
      </w:r>
      <w:r w:rsidR="004156AB">
        <w:rPr>
          <w:rFonts w:cs="Arial"/>
        </w:rPr>
        <w:t>, 552 U.S. at 227)</w:t>
      </w:r>
      <w:r w:rsidR="00B81614">
        <w:rPr>
          <w:rFonts w:cs="Arial"/>
        </w:rPr>
        <w:t>.</w:t>
      </w:r>
      <w:r w:rsidR="006239FB">
        <w:rPr>
          <w:rFonts w:cs="Arial"/>
        </w:rPr>
        <w:t xml:space="preserve"> As described in the preceding section, </w:t>
      </w:r>
      <w:r w:rsidR="00601A62">
        <w:rPr>
          <w:rFonts w:cs="Arial"/>
        </w:rPr>
        <w:t>a construction of “any other substance” to mean only substances that contain nicotine, which is separately enumerated, would indeed make general words meaningless</w:t>
      </w:r>
      <w:r w:rsidR="00682346">
        <w:rPr>
          <w:rFonts w:cs="Arial"/>
        </w:rPr>
        <w:t xml:space="preserve"> and thwart legislative intent. And there is no ambiguity in the phrase “any other substance”</w:t>
      </w:r>
      <w:r w:rsidR="00A442E2">
        <w:rPr>
          <w:rFonts w:cs="Arial"/>
        </w:rPr>
        <w:t>:</w:t>
      </w:r>
      <w:r w:rsidR="00682346">
        <w:rPr>
          <w:rFonts w:cs="Arial"/>
        </w:rPr>
        <w:t xml:space="preserve"> it means what it says</w:t>
      </w:r>
      <w:r w:rsidR="009E762E">
        <w:rPr>
          <w:rFonts w:cs="Arial"/>
        </w:rPr>
        <w:t>, and there is no apparent reason to infer a (redundant) nicotine-only construction</w:t>
      </w:r>
      <w:r w:rsidR="00682346">
        <w:rPr>
          <w:rFonts w:cs="Arial"/>
        </w:rPr>
        <w:t>.</w:t>
      </w:r>
      <w:r w:rsidR="009E762E">
        <w:rPr>
          <w:rFonts w:cs="Arial"/>
        </w:rPr>
        <w:t xml:space="preserve"> </w:t>
      </w:r>
      <w:r w:rsidR="009E762E" w:rsidRPr="005E6248">
        <w:rPr>
          <w:rFonts w:cs="Arial"/>
        </w:rPr>
        <w:t>See</w:t>
      </w:r>
      <w:r w:rsidR="00A35600" w:rsidRPr="005E6248">
        <w:rPr>
          <w:rFonts w:cs="Arial"/>
        </w:rPr>
        <w:t>, e.g.</w:t>
      </w:r>
      <w:r w:rsidR="00A35600">
        <w:rPr>
          <w:rFonts w:cs="Arial"/>
        </w:rPr>
        <w:t>,</w:t>
      </w:r>
      <w:r w:rsidR="009E762E">
        <w:rPr>
          <w:rFonts w:cs="Arial"/>
          <w:i/>
          <w:iCs/>
        </w:rPr>
        <w:t xml:space="preserve"> Graham County Soil &amp; Water Conservation Dist. v. United States ex rel. Wilson</w:t>
      </w:r>
      <w:r w:rsidR="009E762E">
        <w:rPr>
          <w:rFonts w:cs="Arial"/>
        </w:rPr>
        <w:t xml:space="preserve">, </w:t>
      </w:r>
      <w:r w:rsidR="005774CB">
        <w:rPr>
          <w:rFonts w:cs="Arial"/>
        </w:rPr>
        <w:t>559 U.S. 280, 286</w:t>
      </w:r>
      <w:r w:rsidR="00A442E2">
        <w:rPr>
          <w:rFonts w:cs="Arial"/>
        </w:rPr>
        <w:t>–</w:t>
      </w:r>
      <w:r w:rsidR="005774CB">
        <w:rPr>
          <w:rFonts w:cs="Arial"/>
        </w:rPr>
        <w:t xml:space="preserve">90 (2010) (rejecting </w:t>
      </w:r>
      <w:r w:rsidR="008C1085" w:rsidRPr="005E6248">
        <w:rPr>
          <w:rFonts w:cs="Arial"/>
        </w:rPr>
        <w:t xml:space="preserve">noscitur a sociis </w:t>
      </w:r>
      <w:r w:rsidR="008C1085">
        <w:rPr>
          <w:rFonts w:cs="Arial"/>
        </w:rPr>
        <w:t xml:space="preserve">as a basis to construe </w:t>
      </w:r>
      <w:r w:rsidR="005774CB">
        <w:rPr>
          <w:rFonts w:cs="Arial"/>
        </w:rPr>
        <w:t xml:space="preserve">“administrative” to refer exclusively to </w:t>
      </w:r>
      <w:r w:rsidR="008C1085">
        <w:rPr>
          <w:rFonts w:cs="Arial"/>
        </w:rPr>
        <w:t>F</w:t>
      </w:r>
      <w:r w:rsidR="005774CB">
        <w:rPr>
          <w:rFonts w:cs="Arial"/>
        </w:rPr>
        <w:t xml:space="preserve">ederal </w:t>
      </w:r>
      <w:r w:rsidR="008C1085">
        <w:rPr>
          <w:rFonts w:cs="Arial"/>
        </w:rPr>
        <w:t>activities, as opposed to those by State and local governments</w:t>
      </w:r>
      <w:r w:rsidR="005774CB">
        <w:rPr>
          <w:rFonts w:cs="Arial"/>
        </w:rPr>
        <w:t>).</w:t>
      </w:r>
    </w:p>
    <w:p w14:paraId="0E67BF12" w14:textId="4F2B1DEE" w:rsidR="00A35600" w:rsidRDefault="00850796" w:rsidP="00FD29E0">
      <w:pPr>
        <w:shd w:val="clear" w:color="auto" w:fill="FFFFFF"/>
        <w:ind w:firstLine="720"/>
        <w:rPr>
          <w:rFonts w:cs="Arial"/>
        </w:rPr>
      </w:pPr>
      <w:r>
        <w:rPr>
          <w:rFonts w:cs="Arial"/>
        </w:rPr>
        <w:t>E</w:t>
      </w:r>
      <w:r w:rsidR="00A35600">
        <w:rPr>
          <w:rFonts w:cs="Arial"/>
        </w:rPr>
        <w:t xml:space="preserve">ven if there were </w:t>
      </w:r>
      <w:r w:rsidR="0052343D">
        <w:rPr>
          <w:rFonts w:cs="Arial"/>
        </w:rPr>
        <w:t>reason</w:t>
      </w:r>
      <w:r w:rsidR="00A35600">
        <w:rPr>
          <w:rFonts w:cs="Arial"/>
        </w:rPr>
        <w:t xml:space="preserve"> to resort to </w:t>
      </w:r>
      <w:r w:rsidR="00A35600" w:rsidRPr="005E6248">
        <w:rPr>
          <w:rFonts w:cs="Arial"/>
        </w:rPr>
        <w:t>noscitur a sociis</w:t>
      </w:r>
      <w:r w:rsidR="00A35600">
        <w:rPr>
          <w:rFonts w:cs="Arial"/>
        </w:rPr>
        <w:t xml:space="preserve"> here, it would </w:t>
      </w:r>
      <w:r w:rsidR="00607042">
        <w:rPr>
          <w:rFonts w:cs="Arial"/>
        </w:rPr>
        <w:t xml:space="preserve">not produce the limiting construction proposed by the commenter. </w:t>
      </w:r>
      <w:r w:rsidR="003F11F2">
        <w:rPr>
          <w:rFonts w:cs="Arial"/>
        </w:rPr>
        <w:t xml:space="preserve">Several, and </w:t>
      </w:r>
      <w:r w:rsidR="003F11F2">
        <w:rPr>
          <w:rFonts w:cs="Arial"/>
        </w:rPr>
        <w:lastRenderedPageBreak/>
        <w:t>possibly even all, of the</w:t>
      </w:r>
      <w:r w:rsidR="00FE0EC8">
        <w:rPr>
          <w:rFonts w:cs="Arial"/>
        </w:rPr>
        <w:t xml:space="preserve"> statutorily enumerated terms</w:t>
      </w:r>
      <w:r w:rsidR="002628B9">
        <w:rPr>
          <w:rFonts w:cs="Arial"/>
        </w:rPr>
        <w:t xml:space="preserve"> (not to mention parts, components, and accessories)</w:t>
      </w:r>
      <w:r w:rsidR="00FE0EC8">
        <w:rPr>
          <w:rFonts w:cs="Arial"/>
        </w:rPr>
        <w:t xml:space="preserve"> </w:t>
      </w:r>
      <w:r w:rsidR="00846F31">
        <w:rPr>
          <w:rFonts w:cs="Arial"/>
        </w:rPr>
        <w:t>are used to refer to</w:t>
      </w:r>
      <w:r w:rsidR="003F11F2">
        <w:rPr>
          <w:rFonts w:cs="Arial"/>
        </w:rPr>
        <w:t xml:space="preserve"> devices </w:t>
      </w:r>
      <w:r w:rsidR="0087256C">
        <w:rPr>
          <w:rFonts w:cs="Arial"/>
        </w:rPr>
        <w:t xml:space="preserve">marketed for use with </w:t>
      </w:r>
      <w:r w:rsidR="00870BC8">
        <w:rPr>
          <w:rFonts w:cs="Arial"/>
        </w:rPr>
        <w:t>cannabis</w:t>
      </w:r>
      <w:r w:rsidR="00FF47B8">
        <w:rPr>
          <w:rFonts w:cs="Arial"/>
        </w:rPr>
        <w:t>, for example,</w:t>
      </w:r>
      <w:r w:rsidR="00870BC8">
        <w:rPr>
          <w:rFonts w:cs="Arial"/>
        </w:rPr>
        <w:t xml:space="preserve"> </w:t>
      </w:r>
      <w:r w:rsidR="009A48FF">
        <w:rPr>
          <w:rFonts w:cs="Arial"/>
        </w:rPr>
        <w:t>without concomitant reference to nicotine</w:t>
      </w:r>
      <w:r w:rsidR="0087256C">
        <w:rPr>
          <w:rFonts w:cs="Arial"/>
        </w:rPr>
        <w:t>.</w:t>
      </w:r>
      <w:r w:rsidR="0087256C">
        <w:rPr>
          <w:rStyle w:val="FootnoteReference"/>
          <w:rFonts w:cs="Arial"/>
        </w:rPr>
        <w:footnoteReference w:id="9"/>
      </w:r>
      <w:r w:rsidR="009A48FF">
        <w:rPr>
          <w:rFonts w:cs="Arial"/>
        </w:rPr>
        <w:t xml:space="preserve"> </w:t>
      </w:r>
      <w:r w:rsidR="001B1F6F">
        <w:rPr>
          <w:rFonts w:cs="Arial"/>
        </w:rPr>
        <w:t xml:space="preserve">Absent </w:t>
      </w:r>
      <w:r w:rsidR="00D02757">
        <w:rPr>
          <w:rFonts w:cs="Arial"/>
        </w:rPr>
        <w:t>further technical specificity in the statute, t</w:t>
      </w:r>
      <w:r w:rsidR="00323CBB">
        <w:rPr>
          <w:rFonts w:cs="Arial"/>
        </w:rPr>
        <w:t xml:space="preserve">here </w:t>
      </w:r>
      <w:r w:rsidR="00CC27D2">
        <w:rPr>
          <w:rFonts w:cs="Arial"/>
        </w:rPr>
        <w:t xml:space="preserve">is </w:t>
      </w:r>
      <w:r w:rsidR="00323CBB">
        <w:rPr>
          <w:rFonts w:cs="Arial"/>
        </w:rPr>
        <w:t xml:space="preserve">no apparent </w:t>
      </w:r>
      <w:r w:rsidR="00A94A28">
        <w:rPr>
          <w:rFonts w:cs="Arial"/>
        </w:rPr>
        <w:t xml:space="preserve">technological or economic </w:t>
      </w:r>
      <w:r w:rsidR="00323CBB">
        <w:rPr>
          <w:rFonts w:cs="Arial"/>
        </w:rPr>
        <w:t xml:space="preserve">reason why such devices would be capable of </w:t>
      </w:r>
      <w:r w:rsidR="001B1F6F">
        <w:rPr>
          <w:rFonts w:cs="Arial"/>
        </w:rPr>
        <w:t>use only with nicotine-containing substances.</w:t>
      </w:r>
    </w:p>
    <w:p w14:paraId="3FE5498C" w14:textId="1248F744" w:rsidR="005F74D7" w:rsidRDefault="005F74D7" w:rsidP="00FD29E0">
      <w:pPr>
        <w:shd w:val="clear" w:color="auto" w:fill="FFFFFF"/>
        <w:ind w:firstLine="720"/>
        <w:rPr>
          <w:rFonts w:cs="Arial"/>
        </w:rPr>
      </w:pPr>
      <w:r>
        <w:rPr>
          <w:rFonts w:cs="Arial"/>
        </w:rPr>
        <w:t xml:space="preserve">Finally, as </w:t>
      </w:r>
      <w:r w:rsidR="00EA3336">
        <w:rPr>
          <w:rFonts w:cs="Arial"/>
        </w:rPr>
        <w:t xml:space="preserve">explained </w:t>
      </w:r>
      <w:r>
        <w:rPr>
          <w:rFonts w:cs="Arial"/>
        </w:rPr>
        <w:t xml:space="preserve">in section </w:t>
      </w:r>
      <w:r w:rsidRPr="0022072C">
        <w:rPr>
          <w:rFonts w:cs="Arial"/>
        </w:rPr>
        <w:t>III.C.1</w:t>
      </w:r>
      <w:r>
        <w:rPr>
          <w:rFonts w:cs="Arial"/>
        </w:rPr>
        <w:t xml:space="preserve">, the FDA operates under </w:t>
      </w:r>
      <w:r w:rsidR="00EA3336">
        <w:rPr>
          <w:rFonts w:cs="Arial"/>
        </w:rPr>
        <w:t>statutory authority that explicitly requires a nexus to tobacco. The POSECCA does not; instead, it refers to “any other substance” in the alternative to “nicotine</w:t>
      </w:r>
      <w:r w:rsidR="00F93A7A">
        <w:rPr>
          <w:rFonts w:cs="Arial"/>
        </w:rPr>
        <w:t>”</w:t>
      </w:r>
      <w:r w:rsidR="00163633">
        <w:rPr>
          <w:rFonts w:cs="Arial"/>
        </w:rPr>
        <w:t xml:space="preserve"> and “flavor.”</w:t>
      </w:r>
      <w:r w:rsidR="00F93A7A">
        <w:rPr>
          <w:rFonts w:cs="Arial"/>
        </w:rPr>
        <w:t xml:space="preserve"> As such, the scope of ENDS products made nonmailable by the POSECCA is </w:t>
      </w:r>
      <w:r w:rsidR="00873535">
        <w:rPr>
          <w:rFonts w:cs="Arial"/>
        </w:rPr>
        <w:t xml:space="preserve">self-evidently and </w:t>
      </w:r>
      <w:r w:rsidR="00F93A7A">
        <w:rPr>
          <w:rFonts w:cs="Arial"/>
        </w:rPr>
        <w:t>materially broader than the scope of ENDS products regulated as “tobacco products” by the FDA.</w:t>
      </w:r>
    </w:p>
    <w:p w14:paraId="752EF108" w14:textId="69109099" w:rsidR="00873535" w:rsidRPr="006F5D98" w:rsidRDefault="008708FA" w:rsidP="00FE6779">
      <w:pPr>
        <w:ind w:left="1440" w:firstLine="720"/>
        <w:rPr>
          <w:bCs/>
        </w:rPr>
      </w:pPr>
      <w:r w:rsidRPr="00FE6779">
        <w:rPr>
          <w:b/>
          <w:bCs/>
        </w:rPr>
        <w:t>iii.</w:t>
      </w:r>
      <w:r w:rsidRPr="00FE6779">
        <w:rPr>
          <w:b/>
          <w:bCs/>
        </w:rPr>
        <w:tab/>
      </w:r>
      <w:bookmarkStart w:id="21" w:name="_Toc79569808"/>
      <w:r w:rsidR="00CC2A16" w:rsidRPr="00FE6779">
        <w:rPr>
          <w:b/>
          <w:bCs/>
        </w:rPr>
        <w:t>Legislative History of the POSECCA</w:t>
      </w:r>
      <w:bookmarkEnd w:id="21"/>
    </w:p>
    <w:p w14:paraId="4ABE358A" w14:textId="458DC815" w:rsidR="00FF27A9" w:rsidRDefault="001155D1" w:rsidP="00CC2A16">
      <w:pPr>
        <w:shd w:val="clear" w:color="auto" w:fill="FFFFFF"/>
        <w:ind w:firstLine="720"/>
        <w:rPr>
          <w:rFonts w:cs="Arial"/>
        </w:rPr>
      </w:pPr>
      <w:r>
        <w:rPr>
          <w:rFonts w:cs="Arial"/>
        </w:rPr>
        <w:t xml:space="preserve">Some ENDS industry commenters </w:t>
      </w:r>
      <w:r w:rsidR="009A78E5">
        <w:rPr>
          <w:rFonts w:cs="Arial"/>
        </w:rPr>
        <w:t>purport</w:t>
      </w:r>
      <w:r w:rsidR="00B56B23">
        <w:rPr>
          <w:rFonts w:cs="Arial"/>
        </w:rPr>
        <w:t>ed</w:t>
      </w:r>
      <w:r>
        <w:rPr>
          <w:rFonts w:cs="Arial"/>
        </w:rPr>
        <w:t xml:space="preserve"> that </w:t>
      </w:r>
      <w:r w:rsidR="00D37456">
        <w:rPr>
          <w:rFonts w:cs="Arial"/>
        </w:rPr>
        <w:t xml:space="preserve">certain floor statements by </w:t>
      </w:r>
      <w:r>
        <w:rPr>
          <w:rFonts w:cs="Arial"/>
        </w:rPr>
        <w:t>the POSECCA</w:t>
      </w:r>
      <w:r w:rsidR="00D37456">
        <w:rPr>
          <w:rFonts w:cs="Arial"/>
        </w:rPr>
        <w:t>’s sponsors</w:t>
      </w:r>
      <w:r>
        <w:rPr>
          <w:rFonts w:cs="Arial"/>
        </w:rPr>
        <w:t xml:space="preserve"> </w:t>
      </w:r>
      <w:r w:rsidR="00BF727C">
        <w:rPr>
          <w:rFonts w:cs="Arial"/>
        </w:rPr>
        <w:t xml:space="preserve">evince an exclusive focus on nicotine-containing or </w:t>
      </w:r>
      <w:r w:rsidR="00163633">
        <w:rPr>
          <w:rFonts w:cs="Arial"/>
        </w:rPr>
        <w:noBreakHyphen/>
      </w:r>
      <w:r w:rsidR="00BF727C">
        <w:rPr>
          <w:rFonts w:cs="Arial"/>
        </w:rPr>
        <w:t>delivering ENDS products</w:t>
      </w:r>
      <w:r w:rsidR="00B56B23">
        <w:rPr>
          <w:rFonts w:cs="Arial"/>
        </w:rPr>
        <w:t xml:space="preserve">. From these </w:t>
      </w:r>
      <w:r w:rsidR="00502725">
        <w:rPr>
          <w:rFonts w:cs="Arial"/>
        </w:rPr>
        <w:t>supposed floor statements, the commenters</w:t>
      </w:r>
      <w:r w:rsidR="00BF727C">
        <w:rPr>
          <w:rFonts w:cs="Arial"/>
        </w:rPr>
        <w:t xml:space="preserve"> conclude</w:t>
      </w:r>
      <w:r w:rsidR="00502725">
        <w:rPr>
          <w:rFonts w:cs="Arial"/>
        </w:rPr>
        <w:t>d</w:t>
      </w:r>
      <w:r w:rsidR="00BF727C">
        <w:rPr>
          <w:rFonts w:cs="Arial"/>
        </w:rPr>
        <w:t xml:space="preserve"> that non-nicotine-related ENDS products are beyond the scope of what Congress intended.</w:t>
      </w:r>
    </w:p>
    <w:p w14:paraId="4483D352" w14:textId="36246BF7" w:rsidR="00BF727C" w:rsidRDefault="00406F47" w:rsidP="00CC2A16">
      <w:pPr>
        <w:shd w:val="clear" w:color="auto" w:fill="FFFFFF"/>
        <w:ind w:firstLine="720"/>
        <w:rPr>
          <w:rFonts w:cs="Arial"/>
        </w:rPr>
      </w:pPr>
      <w:r>
        <w:rPr>
          <w:rFonts w:cs="Arial"/>
        </w:rPr>
        <w:lastRenderedPageBreak/>
        <w:t>Legislative history</w:t>
      </w:r>
      <w:r w:rsidR="006A7090">
        <w:rPr>
          <w:rFonts w:cs="Arial"/>
        </w:rPr>
        <w:t xml:space="preserve"> ordinarily</w:t>
      </w:r>
      <w:r>
        <w:rPr>
          <w:rFonts w:cs="Arial"/>
        </w:rPr>
        <w:t xml:space="preserve"> </w:t>
      </w:r>
      <w:r w:rsidR="008033BD">
        <w:rPr>
          <w:rFonts w:cs="Arial"/>
        </w:rPr>
        <w:t>is useful only for resolving ambiguity</w:t>
      </w:r>
      <w:r w:rsidR="002E37E7">
        <w:rPr>
          <w:rFonts w:cs="Arial"/>
        </w:rPr>
        <w:t xml:space="preserve"> in a statute, not for superseding or ambiguating already-plain statutory text. </w:t>
      </w:r>
      <w:r w:rsidR="00A82EE2" w:rsidRPr="005E6248">
        <w:rPr>
          <w:rFonts w:cs="Arial"/>
        </w:rPr>
        <w:t xml:space="preserve">See </w:t>
      </w:r>
      <w:r w:rsidR="006C2657">
        <w:rPr>
          <w:rFonts w:cs="Arial"/>
        </w:rPr>
        <w:t>Singer</w:t>
      </w:r>
      <w:r w:rsidR="00502725">
        <w:rPr>
          <w:rFonts w:cs="Arial"/>
        </w:rPr>
        <w:t xml:space="preserve"> &amp; Singer</w:t>
      </w:r>
      <w:r w:rsidR="006C2657">
        <w:rPr>
          <w:rFonts w:cs="Arial"/>
        </w:rPr>
        <w:t>, 2A Sutherland Statutes &amp; Statutory Construction</w:t>
      </w:r>
      <w:r w:rsidR="006D38F6">
        <w:rPr>
          <w:rFonts w:cs="Arial"/>
        </w:rPr>
        <w:t xml:space="preserve"> section </w:t>
      </w:r>
      <w:r w:rsidR="00A82EE2">
        <w:rPr>
          <w:rFonts w:cs="Arial"/>
        </w:rPr>
        <w:t>48:1.</w:t>
      </w:r>
      <w:r w:rsidR="006A7090">
        <w:rPr>
          <w:rFonts w:cs="Arial"/>
        </w:rPr>
        <w:t xml:space="preserve"> Here, the statutory text is </w:t>
      </w:r>
      <w:r w:rsidR="003611C6">
        <w:rPr>
          <w:rFonts w:cs="Arial"/>
        </w:rPr>
        <w:t xml:space="preserve">clear in its coverage of ENDS used with “nicotine, flavor, or any other substance [i.e., any substance other than nicotine or flavor].” </w:t>
      </w:r>
      <w:r w:rsidR="00CD7642">
        <w:rPr>
          <w:rFonts w:cs="Arial"/>
        </w:rPr>
        <w:t xml:space="preserve">Even if the legislative history contained only examples of concern relating to nicotine substances, that would not be a basis to </w:t>
      </w:r>
      <w:r w:rsidR="00DB14E2">
        <w:rPr>
          <w:rFonts w:cs="Arial"/>
        </w:rPr>
        <w:t xml:space="preserve">read out of </w:t>
      </w:r>
      <w:r w:rsidR="00CD7642">
        <w:rPr>
          <w:rFonts w:cs="Arial"/>
        </w:rPr>
        <w:t xml:space="preserve">the statute the catch-all that </w:t>
      </w:r>
      <w:r w:rsidR="00DB14E2">
        <w:rPr>
          <w:rFonts w:cs="Arial"/>
        </w:rPr>
        <w:t>Congress expressly included</w:t>
      </w:r>
      <w:r w:rsidR="00CD7642">
        <w:rPr>
          <w:rFonts w:cs="Arial"/>
        </w:rPr>
        <w:t>.</w:t>
      </w:r>
      <w:r w:rsidR="00335E42">
        <w:rPr>
          <w:rFonts w:cs="Arial"/>
        </w:rPr>
        <w:t xml:space="preserve"> </w:t>
      </w:r>
      <w:r w:rsidR="002E3AD3">
        <w:rPr>
          <w:rFonts w:cs="Arial"/>
        </w:rPr>
        <w:t>In that hypothetical instance, a</w:t>
      </w:r>
      <w:r w:rsidR="00335E42">
        <w:rPr>
          <w:rFonts w:cs="Arial"/>
        </w:rPr>
        <w:t xml:space="preserve">bsence of evidence of intent as to non-nicotine-related ENDS products would not </w:t>
      </w:r>
      <w:r w:rsidR="00375903">
        <w:rPr>
          <w:rFonts w:cs="Arial"/>
        </w:rPr>
        <w:t>equate to evidence of the absence of such intent.</w:t>
      </w:r>
    </w:p>
    <w:p w14:paraId="4A0E2158" w14:textId="3BCA7A8B" w:rsidR="00DB14E2" w:rsidRDefault="00DB14E2" w:rsidP="00CC2A16">
      <w:pPr>
        <w:shd w:val="clear" w:color="auto" w:fill="FFFFFF"/>
        <w:ind w:firstLine="720"/>
        <w:rPr>
          <w:rFonts w:eastAsia="Arial" w:cs="Arial"/>
          <w:color w:val="000000" w:themeColor="text1"/>
        </w:rPr>
      </w:pPr>
      <w:r w:rsidRPr="0079145C">
        <w:rPr>
          <w:rFonts w:cs="Arial"/>
        </w:rPr>
        <w:t xml:space="preserve">Moreover, the </w:t>
      </w:r>
      <w:r w:rsidR="009A78E5" w:rsidRPr="0079145C">
        <w:rPr>
          <w:rFonts w:cs="Arial"/>
        </w:rPr>
        <w:t xml:space="preserve">commenters are incorrect: the legislative history of the POSECCA </w:t>
      </w:r>
      <w:proofErr w:type="gramStart"/>
      <w:r w:rsidR="00E409F5" w:rsidRPr="0079145C">
        <w:rPr>
          <w:rFonts w:cs="Arial"/>
        </w:rPr>
        <w:t>actually attests</w:t>
      </w:r>
      <w:proofErr w:type="gramEnd"/>
      <w:r w:rsidR="00E409F5" w:rsidRPr="0079145C">
        <w:rPr>
          <w:rFonts w:cs="Arial"/>
        </w:rPr>
        <w:t xml:space="preserve"> to concerns about non-nicotine-related </w:t>
      </w:r>
      <w:r w:rsidR="00FF3C81">
        <w:rPr>
          <w:rFonts w:cs="Arial"/>
        </w:rPr>
        <w:t>and</w:t>
      </w:r>
      <w:r w:rsidR="00E409F5" w:rsidRPr="0079145C">
        <w:rPr>
          <w:rFonts w:cs="Arial"/>
        </w:rPr>
        <w:t xml:space="preserve"> nicotine-related ENDS products</w:t>
      </w:r>
      <w:r w:rsidR="00FF3C81">
        <w:rPr>
          <w:rFonts w:cs="Arial"/>
        </w:rPr>
        <w:t xml:space="preserve"> alike</w:t>
      </w:r>
      <w:r w:rsidR="00E409F5" w:rsidRPr="0079145C">
        <w:rPr>
          <w:rFonts w:cs="Arial"/>
        </w:rPr>
        <w:t xml:space="preserve">. </w:t>
      </w:r>
      <w:r w:rsidR="006C21A8" w:rsidRPr="0079145C">
        <w:rPr>
          <w:rFonts w:eastAsia="Arial" w:cs="Arial"/>
          <w:color w:val="000000" w:themeColor="text1"/>
        </w:rPr>
        <w:t>Bill sponsors frequently decried an epidemic of youth vaping without specifying the chemical composition of the vapors thus inhaled.  One Senate sponsor spoke of teens “regularly vaping both nicotine and THC products” and singled out “closed systems that deliver only nicotine” as but one subset of a larger universe of devices, all of which his sponsored bill impliedly target</w:t>
      </w:r>
      <w:r w:rsidR="002E05BB">
        <w:rPr>
          <w:rFonts w:eastAsia="Arial" w:cs="Arial"/>
          <w:color w:val="000000" w:themeColor="text1"/>
        </w:rPr>
        <w:t>ed</w:t>
      </w:r>
      <w:r w:rsidR="006C21A8" w:rsidRPr="0079145C">
        <w:rPr>
          <w:rFonts w:eastAsia="Arial" w:cs="Arial"/>
          <w:color w:val="000000" w:themeColor="text1"/>
        </w:rPr>
        <w:t xml:space="preserve">. 165 </w:t>
      </w:r>
      <w:r w:rsidR="006C21A8" w:rsidRPr="002E05BB">
        <w:rPr>
          <w:rFonts w:eastAsia="Arial" w:cs="Arial"/>
          <w:color w:val="000000" w:themeColor="text1"/>
        </w:rPr>
        <w:t>Cong. Rec.</w:t>
      </w:r>
      <w:r w:rsidR="006C21A8" w:rsidRPr="0079145C">
        <w:rPr>
          <w:rFonts w:eastAsia="Arial" w:cs="Arial"/>
          <w:color w:val="000000" w:themeColor="text1"/>
        </w:rPr>
        <w:t xml:space="preserve"> S6</w:t>
      </w:r>
      <w:r w:rsidR="002E05BB">
        <w:rPr>
          <w:rFonts w:eastAsia="Arial" w:cs="Arial"/>
          <w:color w:val="000000" w:themeColor="text1"/>
        </w:rPr>
        <w:t>,</w:t>
      </w:r>
      <w:r w:rsidR="006C21A8" w:rsidRPr="0079145C">
        <w:rPr>
          <w:rFonts w:eastAsia="Arial" w:cs="Arial"/>
          <w:color w:val="000000" w:themeColor="text1"/>
        </w:rPr>
        <w:t>898 (daily ed. Dec. 9, 2019) (statement of Sen</w:t>
      </w:r>
      <w:r w:rsidR="002E05BB">
        <w:rPr>
          <w:rFonts w:eastAsia="Arial" w:cs="Arial"/>
          <w:color w:val="000000" w:themeColor="text1"/>
        </w:rPr>
        <w:t>ator</w:t>
      </w:r>
      <w:r w:rsidR="006C21A8" w:rsidRPr="0079145C">
        <w:rPr>
          <w:rFonts w:eastAsia="Arial" w:cs="Arial"/>
          <w:color w:val="000000" w:themeColor="text1"/>
        </w:rPr>
        <w:t xml:space="preserve"> Cornyn).</w:t>
      </w:r>
      <w:r w:rsidR="00667F6F" w:rsidRPr="0079145C">
        <w:rPr>
          <w:rFonts w:eastAsia="Arial" w:cs="Arial"/>
          <w:color w:val="000000" w:themeColor="text1"/>
        </w:rPr>
        <w:t xml:space="preserve"> </w:t>
      </w:r>
    </w:p>
    <w:p w14:paraId="0B6A4C92" w14:textId="2D1AB1D9" w:rsidR="00326E64" w:rsidRPr="00326E64" w:rsidRDefault="00326E64" w:rsidP="00606B2F">
      <w:pPr>
        <w:shd w:val="clear" w:color="auto" w:fill="FFFFFF"/>
        <w:ind w:firstLine="720"/>
        <w:rPr>
          <w:rFonts w:cs="Arial"/>
        </w:rPr>
      </w:pPr>
      <w:bookmarkStart w:id="22" w:name="_Hlk83973819"/>
      <w:r w:rsidRPr="00326E64">
        <w:rPr>
          <w:rFonts w:cs="Arial"/>
        </w:rPr>
        <w:t xml:space="preserve">Most tellingly, perhaps, </w:t>
      </w:r>
      <w:r w:rsidR="00FC3634">
        <w:rPr>
          <w:rFonts w:cs="Arial"/>
        </w:rPr>
        <w:t>the POSECCA</w:t>
      </w:r>
      <w:r w:rsidRPr="00326E64">
        <w:rPr>
          <w:rFonts w:cs="Arial"/>
        </w:rPr>
        <w:t xml:space="preserve"> was introduced </w:t>
      </w:r>
      <w:r w:rsidR="00FC3634">
        <w:rPr>
          <w:rFonts w:cs="Arial"/>
        </w:rPr>
        <w:t xml:space="preserve">in the 116th Congress </w:t>
      </w:r>
      <w:r w:rsidRPr="00326E64">
        <w:rPr>
          <w:rFonts w:cs="Arial"/>
        </w:rPr>
        <w:t xml:space="preserve">during a widely reported health crisis related to vaping practices, which </w:t>
      </w:r>
      <w:r w:rsidR="00927127">
        <w:rPr>
          <w:rFonts w:cs="Arial"/>
        </w:rPr>
        <w:t xml:space="preserve">led to at least 68 deaths and 2,807 hospitalizations across the country from </w:t>
      </w:r>
      <w:r w:rsidR="0047269B">
        <w:rPr>
          <w:rFonts w:cs="Arial"/>
        </w:rPr>
        <w:t xml:space="preserve">lung damage </w:t>
      </w:r>
      <w:r w:rsidR="00927127">
        <w:rPr>
          <w:rFonts w:cs="Arial"/>
        </w:rPr>
        <w:t xml:space="preserve">related to </w:t>
      </w:r>
      <w:r w:rsidR="0047269B">
        <w:rPr>
          <w:rFonts w:cs="Arial"/>
        </w:rPr>
        <w:t>ENDS use</w:t>
      </w:r>
      <w:r w:rsidRPr="00326E64">
        <w:rPr>
          <w:rFonts w:cs="Arial"/>
        </w:rPr>
        <w:t>.</w:t>
      </w:r>
      <w:r w:rsidR="00927127">
        <w:rPr>
          <w:rFonts w:cs="Arial"/>
        </w:rPr>
        <w:t xml:space="preserve"> </w:t>
      </w:r>
      <w:r w:rsidR="00927127">
        <w:t xml:space="preserve">Hassan Z. Sheikh, Regulation of Electronic </w:t>
      </w:r>
      <w:r w:rsidR="00927127">
        <w:lastRenderedPageBreak/>
        <w:t xml:space="preserve">Nicotine </w:t>
      </w:r>
      <w:r w:rsidR="00927127" w:rsidRPr="00927127">
        <w:t>Delivery Systems (ENDS): Background and Select Policy Issues in the 117th Congress</w:t>
      </w:r>
      <w:r w:rsidR="00927127">
        <w:t xml:space="preserve"> 9 (Cong. Research Serv. Sept. 30, 2021).</w:t>
      </w:r>
      <w:r w:rsidRPr="00326E64">
        <w:rPr>
          <w:rFonts w:cs="Arial"/>
        </w:rPr>
        <w:t xml:space="preserve"> </w:t>
      </w:r>
      <w:r w:rsidR="00C17104">
        <w:rPr>
          <w:rFonts w:cs="Arial"/>
        </w:rPr>
        <w:t xml:space="preserve">As discussed in </w:t>
      </w:r>
      <w:r w:rsidR="00C17104" w:rsidRPr="00D44B2E">
        <w:rPr>
          <w:rFonts w:cs="Arial"/>
        </w:rPr>
        <w:t xml:space="preserve">section </w:t>
      </w:r>
      <w:r w:rsidR="00C17104" w:rsidRPr="0022072C">
        <w:rPr>
          <w:rFonts w:cs="Arial"/>
        </w:rPr>
        <w:t>III.B</w:t>
      </w:r>
      <w:r w:rsidR="00C17104">
        <w:rPr>
          <w:rFonts w:cs="Arial"/>
        </w:rPr>
        <w:t xml:space="preserve">, the House committee report on the POSECCA </w:t>
      </w:r>
      <w:r w:rsidR="003D1EA6">
        <w:rPr>
          <w:rFonts w:cs="Arial"/>
        </w:rPr>
        <w:t>expressly adverted to this crisis as a motivating factor,</w:t>
      </w:r>
      <w:r w:rsidR="000D36D9">
        <w:rPr>
          <w:rFonts w:cs="Arial"/>
        </w:rPr>
        <w:t xml:space="preserve"> as</w:t>
      </w:r>
      <w:r w:rsidR="003D1EA6">
        <w:rPr>
          <w:rFonts w:cs="Arial"/>
        </w:rPr>
        <w:t xml:space="preserve"> did </w:t>
      </w:r>
      <w:r w:rsidRPr="00326E64">
        <w:rPr>
          <w:rFonts w:cs="Arial"/>
        </w:rPr>
        <w:t>floor statements</w:t>
      </w:r>
      <w:r w:rsidR="003D1EA6">
        <w:rPr>
          <w:rFonts w:cs="Arial"/>
        </w:rPr>
        <w:t xml:space="preserve"> regarding the POSECCA</w:t>
      </w:r>
      <w:r w:rsidRPr="00326E64">
        <w:rPr>
          <w:rFonts w:cs="Arial"/>
        </w:rPr>
        <w:t xml:space="preserve">. </w:t>
      </w:r>
      <w:r w:rsidRPr="005E6248">
        <w:rPr>
          <w:rFonts w:cs="Arial"/>
        </w:rPr>
        <w:t>See</w:t>
      </w:r>
      <w:r w:rsidRPr="00326E64">
        <w:rPr>
          <w:rFonts w:cs="Arial"/>
        </w:rPr>
        <w:t xml:space="preserve"> </w:t>
      </w:r>
      <w:r w:rsidR="003D1EA6" w:rsidRPr="005E6248">
        <w:rPr>
          <w:rFonts w:cs="Arial"/>
        </w:rPr>
        <w:t>H. Rep</w:t>
      </w:r>
      <w:r w:rsidR="00A419C5">
        <w:rPr>
          <w:rFonts w:cs="Arial"/>
        </w:rPr>
        <w:t>t</w:t>
      </w:r>
      <w:r w:rsidR="003D1EA6" w:rsidRPr="005E6248">
        <w:rPr>
          <w:rFonts w:cs="Arial"/>
        </w:rPr>
        <w:t xml:space="preserve">. </w:t>
      </w:r>
      <w:r w:rsidR="003D1EA6" w:rsidRPr="00326E64">
        <w:rPr>
          <w:rFonts w:cs="Arial"/>
        </w:rPr>
        <w:t>116</w:t>
      </w:r>
      <w:r w:rsidR="00A419C5">
        <w:rPr>
          <w:rFonts w:cs="Arial"/>
        </w:rPr>
        <w:t>–</w:t>
      </w:r>
      <w:r w:rsidR="003D1EA6" w:rsidRPr="00326E64">
        <w:rPr>
          <w:rFonts w:cs="Arial"/>
        </w:rPr>
        <w:t>260 at 3</w:t>
      </w:r>
      <w:r w:rsidR="003D1EA6">
        <w:rPr>
          <w:rFonts w:cs="Arial"/>
        </w:rPr>
        <w:t xml:space="preserve">; </w:t>
      </w:r>
      <w:r w:rsidR="000D36D9" w:rsidRPr="00AF27CF">
        <w:rPr>
          <w:rFonts w:cs="Arial"/>
        </w:rPr>
        <w:t>166 Cong. Rec. S7</w:t>
      </w:r>
      <w:r w:rsidR="00833380" w:rsidRPr="00AF27CF">
        <w:rPr>
          <w:rFonts w:cs="Arial"/>
        </w:rPr>
        <w:t>,</w:t>
      </w:r>
      <w:r w:rsidR="000D36D9" w:rsidRPr="00AF27CF">
        <w:rPr>
          <w:rFonts w:cs="Arial"/>
        </w:rPr>
        <w:t>028 (daily ed., Nov. 17, 202</w:t>
      </w:r>
      <w:r w:rsidR="006E1C22">
        <w:rPr>
          <w:rFonts w:cs="Arial"/>
        </w:rPr>
        <w:t>0</w:t>
      </w:r>
      <w:r w:rsidR="000D36D9" w:rsidRPr="00AF27CF">
        <w:rPr>
          <w:rFonts w:cs="Arial"/>
        </w:rPr>
        <w:t xml:space="preserve">) (statement of </w:t>
      </w:r>
      <w:r w:rsidR="00AF27CF" w:rsidRPr="00326E64">
        <w:rPr>
          <w:rFonts w:cs="Arial"/>
        </w:rPr>
        <w:t>Sen</w:t>
      </w:r>
      <w:r w:rsidR="00AF27CF">
        <w:rPr>
          <w:rFonts w:cs="Arial"/>
        </w:rPr>
        <w:t>ator</w:t>
      </w:r>
      <w:r w:rsidR="00AF27CF" w:rsidRPr="00AF27CF">
        <w:rPr>
          <w:rFonts w:cs="Arial"/>
        </w:rPr>
        <w:t xml:space="preserve"> </w:t>
      </w:r>
      <w:r w:rsidR="000D36D9" w:rsidRPr="00AF27CF">
        <w:rPr>
          <w:rFonts w:cs="Arial"/>
        </w:rPr>
        <w:t>Cornyn); 166</w:t>
      </w:r>
      <w:r w:rsidR="00214DC5" w:rsidRPr="00AF27CF">
        <w:rPr>
          <w:rFonts w:cs="Arial"/>
        </w:rPr>
        <w:t> </w:t>
      </w:r>
      <w:r w:rsidR="000D36D9" w:rsidRPr="00AF27CF">
        <w:rPr>
          <w:rFonts w:cs="Arial"/>
        </w:rPr>
        <w:t>Cong. Rec. S4</w:t>
      </w:r>
      <w:r w:rsidR="00833380" w:rsidRPr="00AF27CF">
        <w:rPr>
          <w:rFonts w:cs="Arial"/>
        </w:rPr>
        <w:t>,</w:t>
      </w:r>
      <w:r w:rsidR="000D36D9" w:rsidRPr="00AF27CF">
        <w:rPr>
          <w:rFonts w:cs="Arial"/>
        </w:rPr>
        <w:t xml:space="preserve">174 (daily ed., July 2, 2020) (statement of </w:t>
      </w:r>
      <w:r w:rsidR="00AF27CF" w:rsidRPr="00326E64">
        <w:rPr>
          <w:rFonts w:cs="Arial"/>
        </w:rPr>
        <w:t>Sen</w:t>
      </w:r>
      <w:r w:rsidR="00AF27CF">
        <w:rPr>
          <w:rFonts w:cs="Arial"/>
        </w:rPr>
        <w:t>ator</w:t>
      </w:r>
      <w:r w:rsidR="00AF27CF" w:rsidRPr="00AF27CF">
        <w:rPr>
          <w:rFonts w:cs="Arial"/>
        </w:rPr>
        <w:t xml:space="preserve"> </w:t>
      </w:r>
      <w:r w:rsidR="000D36D9" w:rsidRPr="00AF27CF">
        <w:rPr>
          <w:rFonts w:cs="Arial"/>
        </w:rPr>
        <w:t xml:space="preserve">Feinstein); </w:t>
      </w:r>
      <w:r w:rsidRPr="00AF27CF">
        <w:rPr>
          <w:rFonts w:cs="Arial"/>
        </w:rPr>
        <w:t>165</w:t>
      </w:r>
      <w:r w:rsidR="000D36D9" w:rsidRPr="00AF27CF">
        <w:rPr>
          <w:rFonts w:cs="Arial"/>
        </w:rPr>
        <w:t> </w:t>
      </w:r>
      <w:r w:rsidRPr="00AF27CF">
        <w:rPr>
          <w:rFonts w:cs="Arial"/>
        </w:rPr>
        <w:t>Cong. Rec. H8</w:t>
      </w:r>
      <w:r w:rsidR="00833380" w:rsidRPr="00AF27CF">
        <w:rPr>
          <w:rFonts w:cs="Arial"/>
        </w:rPr>
        <w:t>,</w:t>
      </w:r>
      <w:r w:rsidRPr="00AF27CF">
        <w:rPr>
          <w:rFonts w:cs="Arial"/>
        </w:rPr>
        <w:t xml:space="preserve">491 (daily ed., Dec. 9, 2019) (statement of </w:t>
      </w:r>
      <w:r w:rsidR="00AF27CF">
        <w:rPr>
          <w:rFonts w:cs="Arial"/>
        </w:rPr>
        <w:t xml:space="preserve">Representative </w:t>
      </w:r>
      <w:proofErr w:type="spellStart"/>
      <w:r w:rsidRPr="00AF27CF">
        <w:rPr>
          <w:rFonts w:cs="Arial"/>
        </w:rPr>
        <w:t>Mucarsel</w:t>
      </w:r>
      <w:proofErr w:type="spellEnd"/>
      <w:r w:rsidRPr="00AF27CF">
        <w:rPr>
          <w:rFonts w:cs="Arial"/>
        </w:rPr>
        <w:t>-Powell)</w:t>
      </w:r>
      <w:r w:rsidR="00214DC5" w:rsidRPr="00AF27CF">
        <w:rPr>
          <w:rFonts w:cs="Arial"/>
        </w:rPr>
        <w:t>; 165 Cong. Rec. S6</w:t>
      </w:r>
      <w:r w:rsidR="00833380" w:rsidRPr="00AF27CF">
        <w:rPr>
          <w:rFonts w:cs="Arial"/>
        </w:rPr>
        <w:t>,</w:t>
      </w:r>
      <w:r w:rsidR="00214DC5" w:rsidRPr="00AF27CF">
        <w:rPr>
          <w:rFonts w:cs="Arial"/>
        </w:rPr>
        <w:t xml:space="preserve">586 (daily ed., Nov. 14, 2019) (statement of </w:t>
      </w:r>
      <w:r w:rsidR="00AF27CF" w:rsidRPr="00326E64">
        <w:rPr>
          <w:rFonts w:cs="Arial"/>
        </w:rPr>
        <w:t>Sen</w:t>
      </w:r>
      <w:r w:rsidR="00AF27CF">
        <w:rPr>
          <w:rFonts w:cs="Arial"/>
        </w:rPr>
        <w:t>ator</w:t>
      </w:r>
      <w:r w:rsidR="00AF27CF" w:rsidRPr="00AF27CF">
        <w:rPr>
          <w:rFonts w:cs="Arial"/>
        </w:rPr>
        <w:t xml:space="preserve"> </w:t>
      </w:r>
      <w:r w:rsidR="00214DC5" w:rsidRPr="00AF27CF">
        <w:rPr>
          <w:rFonts w:cs="Arial"/>
        </w:rPr>
        <w:t>Cornyn)</w:t>
      </w:r>
      <w:r w:rsidRPr="00AF27CF">
        <w:rPr>
          <w:rFonts w:cs="Arial"/>
        </w:rPr>
        <w:t>; 165 Cong. Rec. S5</w:t>
      </w:r>
      <w:r w:rsidR="00833380" w:rsidRPr="00AF27CF">
        <w:rPr>
          <w:rFonts w:cs="Arial"/>
        </w:rPr>
        <w:t>,</w:t>
      </w:r>
      <w:r w:rsidRPr="00AF27CF">
        <w:rPr>
          <w:rFonts w:cs="Arial"/>
        </w:rPr>
        <w:t>431 (daily ed</w:t>
      </w:r>
      <w:r w:rsidRPr="00326E64">
        <w:rPr>
          <w:rFonts w:cs="Arial"/>
        </w:rPr>
        <w:t>., Sept. 11</w:t>
      </w:r>
      <w:r w:rsidR="00606B2F">
        <w:rPr>
          <w:rFonts w:cs="Arial"/>
        </w:rPr>
        <w:t>, 2019</w:t>
      </w:r>
      <w:r w:rsidRPr="00326E64">
        <w:rPr>
          <w:rFonts w:cs="Arial"/>
        </w:rPr>
        <w:t>) (statement of Sen</w:t>
      </w:r>
      <w:r w:rsidR="00AF27CF">
        <w:rPr>
          <w:rFonts w:cs="Arial"/>
        </w:rPr>
        <w:t>ator</w:t>
      </w:r>
      <w:r w:rsidR="00214DC5">
        <w:rPr>
          <w:rFonts w:cs="Arial"/>
        </w:rPr>
        <w:t> </w:t>
      </w:r>
      <w:r w:rsidRPr="00326E64">
        <w:rPr>
          <w:rFonts w:cs="Arial"/>
        </w:rPr>
        <w:t xml:space="preserve">Durbin). </w:t>
      </w:r>
      <w:r w:rsidR="00192996">
        <w:rPr>
          <w:rFonts w:cs="Arial"/>
        </w:rPr>
        <w:t>The CDC ultimately determined</w:t>
      </w:r>
      <w:r w:rsidR="00065B78">
        <w:rPr>
          <w:rFonts w:cs="Arial"/>
        </w:rPr>
        <w:t>—</w:t>
      </w:r>
      <w:r w:rsidR="005949BE">
        <w:rPr>
          <w:rFonts w:cs="Arial"/>
        </w:rPr>
        <w:t>several months prior</w:t>
      </w:r>
      <w:r w:rsidR="00065B78">
        <w:rPr>
          <w:rFonts w:cs="Arial"/>
        </w:rPr>
        <w:t xml:space="preserve"> </w:t>
      </w:r>
      <w:r w:rsidR="005949BE">
        <w:rPr>
          <w:rFonts w:cs="Arial"/>
        </w:rPr>
        <w:t xml:space="preserve">to </w:t>
      </w:r>
      <w:r w:rsidR="00065B78">
        <w:rPr>
          <w:rFonts w:cs="Arial"/>
        </w:rPr>
        <w:t>Congress</w:t>
      </w:r>
      <w:r w:rsidR="005949BE">
        <w:rPr>
          <w:rFonts w:cs="Arial"/>
        </w:rPr>
        <w:t>’s passage of</w:t>
      </w:r>
      <w:r w:rsidR="00065B78">
        <w:rPr>
          <w:rFonts w:cs="Arial"/>
        </w:rPr>
        <w:t xml:space="preserve"> the POSECCA</w:t>
      </w:r>
      <w:r w:rsidR="00973869">
        <w:rPr>
          <w:rFonts w:cs="Arial"/>
        </w:rPr>
        <w:t>, and some of the</w:t>
      </w:r>
      <w:r w:rsidR="002B188D">
        <w:rPr>
          <w:rFonts w:cs="Arial"/>
        </w:rPr>
        <w:t xml:space="preserve"> relevant floor statements</w:t>
      </w:r>
      <w:r w:rsidR="00065B78">
        <w:rPr>
          <w:rFonts w:cs="Arial"/>
        </w:rPr>
        <w:t>—</w:t>
      </w:r>
      <w:r w:rsidR="00192996">
        <w:rPr>
          <w:rFonts w:cs="Arial"/>
        </w:rPr>
        <w:t xml:space="preserve">that this crisis was related to </w:t>
      </w:r>
      <w:r w:rsidR="00156006">
        <w:rPr>
          <w:rFonts w:cs="Arial"/>
        </w:rPr>
        <w:t xml:space="preserve">a </w:t>
      </w:r>
      <w:r w:rsidR="00065B78">
        <w:rPr>
          <w:rFonts w:cs="Arial"/>
        </w:rPr>
        <w:t>chemical found in non-nicotine-related</w:t>
      </w:r>
      <w:r w:rsidR="00156006">
        <w:rPr>
          <w:rFonts w:cs="Arial"/>
        </w:rPr>
        <w:t xml:space="preserve"> (specifically, THC-related)</w:t>
      </w:r>
      <w:r w:rsidR="00065B78">
        <w:rPr>
          <w:rFonts w:cs="Arial"/>
        </w:rPr>
        <w:t xml:space="preserve"> ENDS products.</w:t>
      </w:r>
      <w:r w:rsidR="00C91C7B">
        <w:rPr>
          <w:rFonts w:cs="Arial"/>
        </w:rPr>
        <w:t xml:space="preserve"> CDC, </w:t>
      </w:r>
      <w:r w:rsidR="00C91C7B" w:rsidRPr="005C7222">
        <w:rPr>
          <w:rFonts w:cs="Arial"/>
        </w:rPr>
        <w:t>Outbreak of Lung Injury Associated with the Use of E-Cigarette, or Vaping, Products</w:t>
      </w:r>
      <w:r w:rsidR="00C91C7B">
        <w:rPr>
          <w:rFonts w:cs="Arial"/>
        </w:rPr>
        <w:t xml:space="preserve">, </w:t>
      </w:r>
      <w:hyperlink r:id="rId12" w:history="1">
        <w:r w:rsidR="00C91C7B" w:rsidRPr="0007663D">
          <w:rPr>
            <w:rStyle w:val="Hyperlink"/>
            <w:rFonts w:cs="Arial"/>
          </w:rPr>
          <w:t>https://go.usa.gov/xHd78</w:t>
        </w:r>
      </w:hyperlink>
      <w:r w:rsidR="00C91C7B">
        <w:rPr>
          <w:rFonts w:cs="Arial"/>
        </w:rPr>
        <w:t xml:space="preserve"> (</w:t>
      </w:r>
      <w:r w:rsidR="00C91C7B" w:rsidRPr="003C4794">
        <w:t>last updated Feb. 25, 2020</w:t>
      </w:r>
      <w:r w:rsidR="00C91C7B">
        <w:rPr>
          <w:rFonts w:cs="Arial"/>
        </w:rPr>
        <w:t>)</w:t>
      </w:r>
      <w:r w:rsidR="00927127">
        <w:rPr>
          <w:rFonts w:cs="Arial"/>
        </w:rPr>
        <w:t xml:space="preserve">; see also Sheikh, </w:t>
      </w:r>
      <w:r w:rsidR="00927127">
        <w:t xml:space="preserve">Regulation of Electronic Nicotine </w:t>
      </w:r>
      <w:r w:rsidR="00927127" w:rsidRPr="00927127">
        <w:t xml:space="preserve">Delivery Systems </w:t>
      </w:r>
      <w:r w:rsidR="00927127">
        <w:t>at 9 (“</w:t>
      </w:r>
      <w:r w:rsidR="00927127" w:rsidRPr="00927127">
        <w:t xml:space="preserve">Among a subset of hospitalized </w:t>
      </w:r>
      <w:r w:rsidR="00123102">
        <w:t>[e-cigarette or vaping use–associated lung injury]</w:t>
      </w:r>
      <w:r w:rsidR="00123102" w:rsidRPr="00927127">
        <w:t xml:space="preserve"> </w:t>
      </w:r>
      <w:r w:rsidR="00927127" w:rsidRPr="00927127">
        <w:t>patients, 82% reported using THC-containing products</w:t>
      </w:r>
      <w:r w:rsidR="00927127">
        <w:t>.”)</w:t>
      </w:r>
      <w:r w:rsidR="00C91C7B">
        <w:rPr>
          <w:rFonts w:cs="Arial"/>
        </w:rPr>
        <w:t>.</w:t>
      </w:r>
    </w:p>
    <w:bookmarkEnd w:id="22"/>
    <w:p w14:paraId="3F92CE99" w14:textId="38528BE2" w:rsidR="00326E64" w:rsidRPr="00326E64" w:rsidRDefault="00574AC5" w:rsidP="00326E64">
      <w:pPr>
        <w:shd w:val="clear" w:color="auto" w:fill="FFFFFF"/>
        <w:ind w:firstLine="720"/>
        <w:rPr>
          <w:rFonts w:cs="Arial"/>
        </w:rPr>
      </w:pPr>
      <w:r>
        <w:rPr>
          <w:rFonts w:cs="Arial"/>
        </w:rPr>
        <w:t>It is evident, then, that</w:t>
      </w:r>
      <w:r w:rsidR="00326E64" w:rsidRPr="00326E64">
        <w:rPr>
          <w:rFonts w:cs="Arial"/>
        </w:rPr>
        <w:t xml:space="preserve">, while youth nicotine consumption </w:t>
      </w:r>
      <w:r>
        <w:rPr>
          <w:rFonts w:cs="Arial"/>
        </w:rPr>
        <w:t xml:space="preserve">was a </w:t>
      </w:r>
      <w:r w:rsidR="00326E64" w:rsidRPr="00326E64">
        <w:rPr>
          <w:rFonts w:cs="Arial"/>
        </w:rPr>
        <w:t xml:space="preserve">prominent concern animating this bill, it by no means constituted the sole motivating concern. </w:t>
      </w:r>
      <w:r w:rsidR="00400075">
        <w:rPr>
          <w:rFonts w:cs="Arial"/>
        </w:rPr>
        <w:t>T</w:t>
      </w:r>
      <w:r w:rsidR="00A97AAD">
        <w:rPr>
          <w:rFonts w:cs="Arial"/>
        </w:rPr>
        <w:t xml:space="preserve">he framers’ </w:t>
      </w:r>
      <w:r w:rsidR="00400075">
        <w:rPr>
          <w:rFonts w:cs="Arial"/>
        </w:rPr>
        <w:t xml:space="preserve">expressed </w:t>
      </w:r>
      <w:r w:rsidR="00A97AAD">
        <w:rPr>
          <w:rFonts w:cs="Arial"/>
        </w:rPr>
        <w:t xml:space="preserve">concerns about the dangers of </w:t>
      </w:r>
      <w:r w:rsidR="00400075">
        <w:rPr>
          <w:rFonts w:cs="Arial"/>
        </w:rPr>
        <w:t xml:space="preserve">both nicotine-related and non-nicotine-related ENDS use underscore </w:t>
      </w:r>
      <w:r w:rsidR="00FB21FF">
        <w:rPr>
          <w:rFonts w:cs="Arial"/>
        </w:rPr>
        <w:t>the plain import of the POSECCA’s inclusion of all such ENDS products</w:t>
      </w:r>
      <w:r w:rsidR="00375903">
        <w:rPr>
          <w:rFonts w:cs="Arial"/>
        </w:rPr>
        <w:t>.</w:t>
      </w:r>
    </w:p>
    <w:p w14:paraId="31DE4959" w14:textId="63268A16" w:rsidR="00DB7778" w:rsidRPr="006F5D98" w:rsidRDefault="008708FA" w:rsidP="00FE6779">
      <w:pPr>
        <w:ind w:left="720" w:firstLine="720"/>
        <w:rPr>
          <w:bCs/>
        </w:rPr>
      </w:pPr>
      <w:r w:rsidRPr="00FE6779">
        <w:rPr>
          <w:b/>
          <w:bCs/>
        </w:rPr>
        <w:lastRenderedPageBreak/>
        <w:t>2.</w:t>
      </w:r>
      <w:r w:rsidRPr="00FE6779">
        <w:rPr>
          <w:b/>
          <w:bCs/>
        </w:rPr>
        <w:tab/>
      </w:r>
      <w:bookmarkStart w:id="23" w:name="_Toc79569809"/>
      <w:r w:rsidR="00A1476F" w:rsidRPr="00FE6779">
        <w:rPr>
          <w:b/>
          <w:bCs/>
        </w:rPr>
        <w:t xml:space="preserve">Products That Aerosolize </w:t>
      </w:r>
      <w:r w:rsidR="00A13B80" w:rsidRPr="00FE6779">
        <w:rPr>
          <w:b/>
          <w:bCs/>
        </w:rPr>
        <w:t xml:space="preserve">Non-Solution </w:t>
      </w:r>
      <w:r w:rsidR="008942E6" w:rsidRPr="00FE6779">
        <w:rPr>
          <w:b/>
          <w:bCs/>
        </w:rPr>
        <w:t>Solids</w:t>
      </w:r>
      <w:bookmarkEnd w:id="23"/>
    </w:p>
    <w:p w14:paraId="2AC710DA" w14:textId="00D4CEC9" w:rsidR="00DB7778" w:rsidRDefault="00D15C79" w:rsidP="00DB7778">
      <w:pPr>
        <w:shd w:val="clear" w:color="auto" w:fill="FFFFFF"/>
        <w:ind w:firstLine="720"/>
        <w:rPr>
          <w:rFonts w:cs="Arial"/>
        </w:rPr>
      </w:pPr>
      <w:r>
        <w:rPr>
          <w:rFonts w:cs="Arial"/>
        </w:rPr>
        <w:t xml:space="preserve">Some </w:t>
      </w:r>
      <w:r w:rsidR="00706BDD">
        <w:rPr>
          <w:rFonts w:cs="Arial"/>
        </w:rPr>
        <w:t xml:space="preserve">ENDS industry </w:t>
      </w:r>
      <w:r>
        <w:rPr>
          <w:rFonts w:cs="Arial"/>
        </w:rPr>
        <w:t>commenters urge</w:t>
      </w:r>
      <w:r w:rsidR="008D6269">
        <w:rPr>
          <w:rFonts w:cs="Arial"/>
        </w:rPr>
        <w:t>d</w:t>
      </w:r>
      <w:r>
        <w:rPr>
          <w:rFonts w:cs="Arial"/>
        </w:rPr>
        <w:t xml:space="preserve"> </w:t>
      </w:r>
      <w:r w:rsidR="00706BDD">
        <w:rPr>
          <w:rFonts w:cs="Arial"/>
        </w:rPr>
        <w:t xml:space="preserve">the Postal Service to </w:t>
      </w:r>
      <w:r w:rsidR="0094698D">
        <w:rPr>
          <w:rFonts w:cs="Arial"/>
        </w:rPr>
        <w:t>exclude personal vaporizers intended for use with waxes or dry herbs</w:t>
      </w:r>
      <w:r w:rsidR="004E097C">
        <w:rPr>
          <w:rFonts w:cs="Arial"/>
        </w:rPr>
        <w:t xml:space="preserve">, </w:t>
      </w:r>
      <w:r w:rsidR="006308AA">
        <w:rPr>
          <w:rFonts w:cs="Arial"/>
        </w:rPr>
        <w:t xml:space="preserve">as such substances do not take the form of an “aerosolized </w:t>
      </w:r>
      <w:r w:rsidR="00E002AA">
        <w:rPr>
          <w:rFonts w:cs="Arial"/>
        </w:rPr>
        <w:t>solution.”</w:t>
      </w:r>
      <w:r w:rsidR="00513E5C">
        <w:rPr>
          <w:rFonts w:cs="Arial"/>
        </w:rPr>
        <w:t xml:space="preserve"> </w:t>
      </w:r>
      <w:r w:rsidR="00540667">
        <w:rPr>
          <w:rFonts w:cs="Arial"/>
        </w:rPr>
        <w:t xml:space="preserve">However, one public-health-oriented commenter </w:t>
      </w:r>
      <w:r w:rsidR="00A432A7">
        <w:rPr>
          <w:rFonts w:cs="Arial"/>
        </w:rPr>
        <w:t>recommend</w:t>
      </w:r>
      <w:r w:rsidR="008D6269">
        <w:rPr>
          <w:rFonts w:cs="Arial"/>
        </w:rPr>
        <w:t>ed</w:t>
      </w:r>
      <w:r w:rsidR="00A432A7">
        <w:rPr>
          <w:rFonts w:cs="Arial"/>
        </w:rPr>
        <w:t xml:space="preserve"> including </w:t>
      </w:r>
      <w:r w:rsidR="00B77935">
        <w:rPr>
          <w:rFonts w:cs="Arial"/>
        </w:rPr>
        <w:t>solid substances and devices that aerosolize them, noting that</w:t>
      </w:r>
      <w:r w:rsidR="00AF1692">
        <w:rPr>
          <w:rFonts w:cs="Arial"/>
        </w:rPr>
        <w:t xml:space="preserve">, according to </w:t>
      </w:r>
      <w:r w:rsidR="00F67A3B">
        <w:rPr>
          <w:rFonts w:cs="Arial"/>
        </w:rPr>
        <w:t xml:space="preserve">at least </w:t>
      </w:r>
      <w:r w:rsidR="00AF1692">
        <w:rPr>
          <w:rFonts w:cs="Arial"/>
        </w:rPr>
        <w:t xml:space="preserve">one definition, </w:t>
      </w:r>
      <w:r w:rsidR="00B77935">
        <w:rPr>
          <w:rFonts w:cs="Arial"/>
        </w:rPr>
        <w:t>“solution” include</w:t>
      </w:r>
      <w:r w:rsidR="00F67A3B">
        <w:rPr>
          <w:rFonts w:cs="Arial"/>
        </w:rPr>
        <w:t>s</w:t>
      </w:r>
      <w:r w:rsidR="00B77935">
        <w:rPr>
          <w:rFonts w:cs="Arial"/>
        </w:rPr>
        <w:t xml:space="preserve"> solid</w:t>
      </w:r>
      <w:r w:rsidR="00F52EB0">
        <w:rPr>
          <w:rFonts w:cs="Arial"/>
        </w:rPr>
        <w:t xml:space="preserve"> as well as liquid mixtures.</w:t>
      </w:r>
    </w:p>
    <w:p w14:paraId="10B3858A" w14:textId="45B3B33C" w:rsidR="003E1324" w:rsidRDefault="003E1324" w:rsidP="003E1324">
      <w:pPr>
        <w:shd w:val="clear" w:color="auto" w:fill="FFFFFF"/>
        <w:ind w:firstLine="720"/>
        <w:rPr>
          <w:rFonts w:cs="Arial"/>
        </w:rPr>
      </w:pPr>
      <w:r>
        <w:rPr>
          <w:rFonts w:cs="Arial"/>
        </w:rPr>
        <w:t xml:space="preserve">Once again, </w:t>
      </w:r>
      <w:r w:rsidR="00A407A0">
        <w:rPr>
          <w:rFonts w:cs="Arial"/>
        </w:rPr>
        <w:t>ATF</w:t>
      </w:r>
      <w:r>
        <w:rPr>
          <w:rFonts w:cs="Arial"/>
        </w:rPr>
        <w:t xml:space="preserve"> is charged with administering the statute in which the relevant definitions reside. Questions of whether a particular product falls within these definitions therefore should be directed to </w:t>
      </w:r>
      <w:r w:rsidR="00A407A0">
        <w:rPr>
          <w:rFonts w:cs="Arial"/>
        </w:rPr>
        <w:t>ATF</w:t>
      </w:r>
      <w:r>
        <w:rPr>
          <w:rFonts w:cs="Arial"/>
        </w:rPr>
        <w:t>.</w:t>
      </w:r>
    </w:p>
    <w:p w14:paraId="3CBC9BFF" w14:textId="28EACB7E" w:rsidR="00F52EB0" w:rsidRDefault="00655F90" w:rsidP="00DB7778">
      <w:pPr>
        <w:shd w:val="clear" w:color="auto" w:fill="FFFFFF"/>
        <w:ind w:firstLine="720"/>
        <w:rPr>
          <w:rFonts w:cs="Arial"/>
        </w:rPr>
      </w:pPr>
      <w:r>
        <w:rPr>
          <w:rFonts w:cs="Arial"/>
        </w:rPr>
        <w:t xml:space="preserve">As a further initial matter, we note that </w:t>
      </w:r>
      <w:r w:rsidR="00B44BFA">
        <w:rPr>
          <w:rFonts w:cs="Arial"/>
        </w:rPr>
        <w:t>many such products are already nonmailable</w:t>
      </w:r>
      <w:r w:rsidR="00381EFE">
        <w:rPr>
          <w:rFonts w:cs="Arial"/>
        </w:rPr>
        <w:t xml:space="preserve"> regardless of the POSECCA. </w:t>
      </w:r>
      <w:r w:rsidR="009461DD">
        <w:rPr>
          <w:rFonts w:cs="Arial"/>
        </w:rPr>
        <w:t xml:space="preserve">To the extent that personal vaporizers are intended for use with </w:t>
      </w:r>
      <w:r w:rsidR="002F3912">
        <w:rPr>
          <w:rFonts w:cs="Arial"/>
        </w:rPr>
        <w:t>waxes or dry herbs containing THC</w:t>
      </w:r>
      <w:r w:rsidR="00C640B7">
        <w:rPr>
          <w:rFonts w:cs="Arial"/>
        </w:rPr>
        <w:t xml:space="preserve"> (other than the limited class of hemp</w:t>
      </w:r>
      <w:r w:rsidR="00E871BB">
        <w:rPr>
          <w:rFonts w:cs="Arial"/>
        </w:rPr>
        <w:t xml:space="preserve"> and hemp-based products under Publication 52 section 453.37)</w:t>
      </w:r>
      <w:r w:rsidR="00B66883">
        <w:rPr>
          <w:rFonts w:cs="Arial"/>
        </w:rPr>
        <w:t>, those substances are controlled substances and the vaporizers are drug paraphernalia under the CSA.</w:t>
      </w:r>
      <w:r w:rsidR="00410D95">
        <w:rPr>
          <w:rFonts w:cs="Arial"/>
        </w:rPr>
        <w:t xml:space="preserve"> Indeed, online marketing</w:t>
      </w:r>
      <w:r w:rsidR="0015201F">
        <w:rPr>
          <w:rFonts w:cs="Arial"/>
        </w:rPr>
        <w:t>, reviews,</w:t>
      </w:r>
      <w:r w:rsidR="00410D95">
        <w:rPr>
          <w:rFonts w:cs="Arial"/>
        </w:rPr>
        <w:t xml:space="preserve"> and blog posts frequently tout the suitability of such products for use with controlled substances. </w:t>
      </w:r>
      <w:r w:rsidR="00C21AFA" w:rsidRPr="00AF27CF">
        <w:rPr>
          <w:rFonts w:cs="Arial"/>
        </w:rPr>
        <w:t>See</w:t>
      </w:r>
      <w:r w:rsidR="00C21AFA">
        <w:rPr>
          <w:rFonts w:cs="Arial"/>
        </w:rPr>
        <w:t xml:space="preserve"> Publication 52 section 453.131 (</w:t>
      </w:r>
      <w:r w:rsidR="0015201F">
        <w:rPr>
          <w:rFonts w:cs="Arial"/>
        </w:rPr>
        <w:t xml:space="preserve">listing such </w:t>
      </w:r>
      <w:r w:rsidR="008C4B49">
        <w:rPr>
          <w:rFonts w:cs="Arial"/>
        </w:rPr>
        <w:t xml:space="preserve">circumstances </w:t>
      </w:r>
      <w:r w:rsidR="0015201F">
        <w:rPr>
          <w:rFonts w:cs="Arial"/>
        </w:rPr>
        <w:t>as evidence that an item is drug paraphernalia).</w:t>
      </w:r>
      <w:r w:rsidR="00D928F3">
        <w:rPr>
          <w:rFonts w:cs="Arial"/>
        </w:rPr>
        <w:t xml:space="preserve"> For further discussion of </w:t>
      </w:r>
      <w:r w:rsidR="00B1191C">
        <w:rPr>
          <w:rFonts w:cs="Arial"/>
        </w:rPr>
        <w:t xml:space="preserve">the nonmailability of such products, see </w:t>
      </w:r>
      <w:r w:rsidR="00D26E53">
        <w:rPr>
          <w:rFonts w:cs="Arial"/>
        </w:rPr>
        <w:t xml:space="preserve">section </w:t>
      </w:r>
      <w:r w:rsidR="00D26E53" w:rsidRPr="0022072C">
        <w:rPr>
          <w:rFonts w:cs="Arial"/>
        </w:rPr>
        <w:t>III.C.2</w:t>
      </w:r>
      <w:r w:rsidR="00D26E53">
        <w:rPr>
          <w:rFonts w:cs="Arial"/>
        </w:rPr>
        <w:t>.</w:t>
      </w:r>
    </w:p>
    <w:p w14:paraId="103825F0" w14:textId="4428146B" w:rsidR="00D26E53" w:rsidRDefault="00510F8D" w:rsidP="00DB7778">
      <w:pPr>
        <w:shd w:val="clear" w:color="auto" w:fill="FFFFFF"/>
        <w:ind w:firstLine="720"/>
        <w:rPr>
          <w:rFonts w:cs="Arial"/>
        </w:rPr>
      </w:pPr>
      <w:r>
        <w:rPr>
          <w:rFonts w:cs="Arial"/>
        </w:rPr>
        <w:t xml:space="preserve">The Postal Service recognizes that some personal vaporizers may also be used as aromatherapy devices </w:t>
      </w:r>
      <w:r w:rsidR="00420018">
        <w:rPr>
          <w:rFonts w:cs="Arial"/>
        </w:rPr>
        <w:t xml:space="preserve">with herbs </w:t>
      </w:r>
      <w:r w:rsidR="00284BD4">
        <w:rPr>
          <w:rFonts w:cs="Arial"/>
        </w:rPr>
        <w:t xml:space="preserve">that do not contain controlled substances (e.g., mint or chamomile). </w:t>
      </w:r>
      <w:r w:rsidR="00B107D5">
        <w:rPr>
          <w:rFonts w:cs="Arial"/>
        </w:rPr>
        <w:t xml:space="preserve">Of course, </w:t>
      </w:r>
      <w:r w:rsidR="008C4B49">
        <w:rPr>
          <w:rFonts w:cs="Arial"/>
        </w:rPr>
        <w:t xml:space="preserve">at least some of the same </w:t>
      </w:r>
      <w:r w:rsidR="00B107D5">
        <w:rPr>
          <w:rFonts w:cs="Arial"/>
        </w:rPr>
        <w:lastRenderedPageBreak/>
        <w:t>products may also be used with controlled substances, and some are capable of use with liquid solutions as well as solid matter.</w:t>
      </w:r>
      <w:r w:rsidR="00FE6003">
        <w:rPr>
          <w:rFonts w:cs="Arial"/>
        </w:rPr>
        <w:t xml:space="preserve"> The remainder of this section will therefore consider </w:t>
      </w:r>
      <w:r w:rsidR="00FD45D0">
        <w:rPr>
          <w:rFonts w:cs="Arial"/>
        </w:rPr>
        <w:t xml:space="preserve">aerosolizing </w:t>
      </w:r>
      <w:r w:rsidR="004744E1">
        <w:rPr>
          <w:rFonts w:cs="Arial"/>
        </w:rPr>
        <w:t>devices (</w:t>
      </w:r>
      <w:r w:rsidR="00895A5D">
        <w:rPr>
          <w:rFonts w:cs="Arial"/>
        </w:rPr>
        <w:t xml:space="preserve">and </w:t>
      </w:r>
      <w:r w:rsidR="004744E1">
        <w:rPr>
          <w:rFonts w:cs="Arial"/>
        </w:rPr>
        <w:t xml:space="preserve">their </w:t>
      </w:r>
      <w:r w:rsidR="00895A5D">
        <w:rPr>
          <w:rFonts w:cs="Arial"/>
        </w:rPr>
        <w:t xml:space="preserve">related </w:t>
      </w:r>
      <w:r w:rsidR="004744E1">
        <w:rPr>
          <w:rFonts w:cs="Arial"/>
        </w:rPr>
        <w:t xml:space="preserve">parts, components, </w:t>
      </w:r>
      <w:r w:rsidR="00775CAE">
        <w:rPr>
          <w:rFonts w:cs="Arial"/>
        </w:rPr>
        <w:t xml:space="preserve">and </w:t>
      </w:r>
      <w:r w:rsidR="004744E1">
        <w:rPr>
          <w:rFonts w:cs="Arial"/>
        </w:rPr>
        <w:t xml:space="preserve">accessories) </w:t>
      </w:r>
      <w:r w:rsidR="00093169">
        <w:rPr>
          <w:rFonts w:cs="Arial"/>
        </w:rPr>
        <w:t xml:space="preserve">intended for use with </w:t>
      </w:r>
      <w:r w:rsidR="001E5B2F" w:rsidRPr="000D3A79">
        <w:rPr>
          <w:u w:val="single"/>
        </w:rPr>
        <w:t xml:space="preserve">solids </w:t>
      </w:r>
      <w:r w:rsidR="001E5B2F" w:rsidRPr="0016204B">
        <w:rPr>
          <w:rFonts w:cs="Arial"/>
          <w:u w:val="single"/>
        </w:rPr>
        <w:t xml:space="preserve">other than </w:t>
      </w:r>
      <w:r w:rsidR="007046E9" w:rsidRPr="0016204B">
        <w:rPr>
          <w:rFonts w:cs="Arial"/>
          <w:u w:val="single"/>
        </w:rPr>
        <w:t>controlled substances</w:t>
      </w:r>
      <w:r w:rsidR="00B94646">
        <w:rPr>
          <w:rFonts w:cs="Arial"/>
        </w:rPr>
        <w:t xml:space="preserve"> (e.g., aromatherapy herbs)</w:t>
      </w:r>
      <w:r w:rsidR="007046E9">
        <w:rPr>
          <w:rFonts w:cs="Arial"/>
        </w:rPr>
        <w:t xml:space="preserve"> </w:t>
      </w:r>
      <w:r w:rsidR="002D2B41">
        <w:rPr>
          <w:rFonts w:cs="Arial"/>
        </w:rPr>
        <w:t xml:space="preserve">and </w:t>
      </w:r>
      <w:r w:rsidR="00A479BC" w:rsidRPr="001E5B2F">
        <w:rPr>
          <w:rFonts w:cs="Arial"/>
          <w:u w:val="single"/>
        </w:rPr>
        <w:t>incapable</w:t>
      </w:r>
      <w:r w:rsidR="00A479BC">
        <w:rPr>
          <w:rFonts w:cs="Arial"/>
        </w:rPr>
        <w:t xml:space="preserve"> of use with </w:t>
      </w:r>
      <w:r w:rsidR="0073018A">
        <w:rPr>
          <w:rFonts w:cs="Arial"/>
        </w:rPr>
        <w:t>a liquid solution.</w:t>
      </w:r>
    </w:p>
    <w:p w14:paraId="6412F762" w14:textId="3716866C" w:rsidR="00DA13E9" w:rsidRDefault="00750D94" w:rsidP="00DB7778">
      <w:pPr>
        <w:shd w:val="clear" w:color="auto" w:fill="FFFFFF"/>
        <w:ind w:firstLine="720"/>
        <w:rPr>
          <w:rFonts w:cs="Arial"/>
        </w:rPr>
      </w:pPr>
      <w:r>
        <w:rPr>
          <w:rFonts w:cs="Arial"/>
        </w:rPr>
        <w:t>Such</w:t>
      </w:r>
      <w:r w:rsidR="001716C1">
        <w:rPr>
          <w:rFonts w:cs="Arial"/>
        </w:rPr>
        <w:t xml:space="preserve"> </w:t>
      </w:r>
      <w:r>
        <w:rPr>
          <w:rFonts w:cs="Arial"/>
        </w:rPr>
        <w:t xml:space="preserve">devices </w:t>
      </w:r>
      <w:r w:rsidR="001716C1">
        <w:rPr>
          <w:rFonts w:cs="Arial"/>
        </w:rPr>
        <w:t>appear to fall outside of the POSECCA definition of a generally nonmailable ENDS product</w:t>
      </w:r>
      <w:r w:rsidR="006F1DFF">
        <w:rPr>
          <w:rFonts w:cs="Arial"/>
        </w:rPr>
        <w:t xml:space="preserve"> (</w:t>
      </w:r>
      <w:proofErr w:type="gramStart"/>
      <w:r w:rsidR="006F1DFF">
        <w:rPr>
          <w:rFonts w:cs="Arial"/>
        </w:rPr>
        <w:t>and also</w:t>
      </w:r>
      <w:proofErr w:type="gramEnd"/>
      <w:r w:rsidR="006F1DFF">
        <w:rPr>
          <w:rFonts w:cs="Arial"/>
        </w:rPr>
        <w:t xml:space="preserve"> would not be nonmailable as drug paraphernalia)</w:t>
      </w:r>
      <w:r w:rsidR="001716C1">
        <w:rPr>
          <w:rFonts w:cs="Arial"/>
        </w:rPr>
        <w:t xml:space="preserve">. </w:t>
      </w:r>
      <w:r w:rsidR="00DA62FF">
        <w:rPr>
          <w:rFonts w:cs="Arial"/>
        </w:rPr>
        <w:t>As discussed in the preceding section,</w:t>
      </w:r>
      <w:r w:rsidR="00365F6F">
        <w:rPr>
          <w:rFonts w:cs="Arial"/>
        </w:rPr>
        <w:t xml:space="preserve"> the </w:t>
      </w:r>
      <w:r w:rsidR="00A03125">
        <w:rPr>
          <w:rFonts w:cs="Arial"/>
        </w:rPr>
        <w:t xml:space="preserve">POSECCA </w:t>
      </w:r>
      <w:r w:rsidR="00732BB8">
        <w:rPr>
          <w:rFonts w:cs="Arial"/>
        </w:rPr>
        <w:t xml:space="preserve">defines ENDS </w:t>
      </w:r>
      <w:r w:rsidR="00DA62FF">
        <w:rPr>
          <w:rFonts w:cs="Arial"/>
        </w:rPr>
        <w:t xml:space="preserve">by reference to </w:t>
      </w:r>
      <w:r w:rsidR="00434FAF">
        <w:rPr>
          <w:rFonts w:cs="Arial"/>
        </w:rPr>
        <w:t xml:space="preserve">“an aerosolized solution” </w:t>
      </w:r>
      <w:r w:rsidR="00DA62FF">
        <w:rPr>
          <w:rFonts w:cs="Arial"/>
        </w:rPr>
        <w:t>containing “</w:t>
      </w:r>
      <w:r w:rsidR="00C52403">
        <w:rPr>
          <w:rFonts w:cs="Arial"/>
        </w:rPr>
        <w:t xml:space="preserve">nicotine, flavor, or </w:t>
      </w:r>
      <w:r w:rsidR="00DA62FF">
        <w:rPr>
          <w:rFonts w:cs="Arial"/>
        </w:rPr>
        <w:t xml:space="preserve">any </w:t>
      </w:r>
      <w:r w:rsidR="00C52403">
        <w:rPr>
          <w:rFonts w:cs="Arial"/>
        </w:rPr>
        <w:t xml:space="preserve">other </w:t>
      </w:r>
      <w:r w:rsidR="00DA62FF">
        <w:rPr>
          <w:rFonts w:cs="Arial"/>
        </w:rPr>
        <w:t xml:space="preserve">substance.” </w:t>
      </w:r>
      <w:r w:rsidR="00C52403">
        <w:rPr>
          <w:rFonts w:cs="Arial"/>
        </w:rPr>
        <w:t xml:space="preserve">Regardless of </w:t>
      </w:r>
      <w:r w:rsidR="00CC6736">
        <w:rPr>
          <w:rFonts w:cs="Arial"/>
        </w:rPr>
        <w:t xml:space="preserve">the </w:t>
      </w:r>
      <w:r w:rsidR="00C52403">
        <w:rPr>
          <w:rFonts w:cs="Arial"/>
        </w:rPr>
        <w:t>constituent</w:t>
      </w:r>
      <w:r w:rsidR="00CC6736">
        <w:rPr>
          <w:rFonts w:cs="Arial"/>
        </w:rPr>
        <w:t xml:space="preserve"> substance or substances</w:t>
      </w:r>
      <w:r w:rsidR="00C52403">
        <w:rPr>
          <w:rFonts w:cs="Arial"/>
        </w:rPr>
        <w:t>,</w:t>
      </w:r>
      <w:r w:rsidR="00CC6736">
        <w:rPr>
          <w:rFonts w:cs="Arial"/>
        </w:rPr>
        <w:t xml:space="preserve"> they </w:t>
      </w:r>
      <w:r w:rsidR="001E4C0C">
        <w:rPr>
          <w:rFonts w:cs="Arial"/>
        </w:rPr>
        <w:t>must form part of a “solution.”</w:t>
      </w:r>
      <w:r w:rsidR="004D35AE">
        <w:rPr>
          <w:rFonts w:cs="Arial"/>
        </w:rPr>
        <w:t xml:space="preserve"> </w:t>
      </w:r>
      <w:r w:rsidR="007D6D85">
        <w:rPr>
          <w:rFonts w:cs="Arial"/>
        </w:rPr>
        <w:t xml:space="preserve">A solution is </w:t>
      </w:r>
      <w:r w:rsidR="008B7A92">
        <w:rPr>
          <w:rFonts w:cs="Arial"/>
        </w:rPr>
        <w:t xml:space="preserve">a </w:t>
      </w:r>
      <w:r w:rsidR="006A131C">
        <w:rPr>
          <w:rFonts w:cs="Arial"/>
        </w:rPr>
        <w:t xml:space="preserve">mixture of chemical substances that is both </w:t>
      </w:r>
      <w:r w:rsidR="008B7A92">
        <w:rPr>
          <w:rFonts w:cs="Arial"/>
        </w:rPr>
        <w:t>homogenous</w:t>
      </w:r>
      <w:r w:rsidR="00391094">
        <w:rPr>
          <w:rFonts w:cs="Arial"/>
        </w:rPr>
        <w:t xml:space="preserve"> (i.e., uniformly mixed)</w:t>
      </w:r>
      <w:r w:rsidR="008B7A92">
        <w:rPr>
          <w:rFonts w:cs="Arial"/>
        </w:rPr>
        <w:t xml:space="preserve"> and stable </w:t>
      </w:r>
      <w:r w:rsidR="00391094">
        <w:rPr>
          <w:rFonts w:cs="Arial"/>
        </w:rPr>
        <w:t xml:space="preserve">(i.e., </w:t>
      </w:r>
      <w:r w:rsidR="00A47F92">
        <w:rPr>
          <w:rFonts w:cs="Arial"/>
        </w:rPr>
        <w:t>not prone to separating upon standing</w:t>
      </w:r>
      <w:r w:rsidR="00901FAF">
        <w:rPr>
          <w:rFonts w:cs="Arial"/>
        </w:rPr>
        <w:t xml:space="preserve"> or filtration</w:t>
      </w:r>
      <w:r w:rsidR="00C00F22">
        <w:rPr>
          <w:rFonts w:cs="Arial"/>
        </w:rPr>
        <w:t>)</w:t>
      </w:r>
      <w:r w:rsidR="006409D8">
        <w:rPr>
          <w:rFonts w:cs="Arial"/>
        </w:rPr>
        <w:t>.</w:t>
      </w:r>
      <w:r w:rsidR="007104A5">
        <w:rPr>
          <w:rStyle w:val="FootnoteReference"/>
          <w:rFonts w:cs="Arial"/>
        </w:rPr>
        <w:footnoteReference w:id="10"/>
      </w:r>
    </w:p>
    <w:p w14:paraId="18A01B53" w14:textId="50BC14DA" w:rsidR="00FD6D3D" w:rsidRDefault="00D64C3D" w:rsidP="00DB7778">
      <w:pPr>
        <w:shd w:val="clear" w:color="auto" w:fill="FFFFFF"/>
        <w:ind w:firstLine="720"/>
        <w:rPr>
          <w:rFonts w:cs="Arial"/>
        </w:rPr>
      </w:pPr>
      <w:r>
        <w:rPr>
          <w:rFonts w:cs="Arial"/>
        </w:rPr>
        <w:t>R</w:t>
      </w:r>
      <w:r w:rsidR="002701EF">
        <w:rPr>
          <w:rFonts w:cs="Arial"/>
        </w:rPr>
        <w:t xml:space="preserve">aw or minimally processed </w:t>
      </w:r>
      <w:r w:rsidR="005B0915">
        <w:rPr>
          <w:rFonts w:cs="Arial"/>
        </w:rPr>
        <w:t xml:space="preserve">organic matter, such as </w:t>
      </w:r>
      <w:r w:rsidR="009E6484">
        <w:rPr>
          <w:rFonts w:cs="Arial"/>
        </w:rPr>
        <w:t xml:space="preserve">aromatic </w:t>
      </w:r>
      <w:r w:rsidR="005B0915">
        <w:rPr>
          <w:rFonts w:cs="Arial"/>
        </w:rPr>
        <w:t xml:space="preserve">herb leaves, </w:t>
      </w:r>
      <w:r w:rsidR="00D13988">
        <w:rPr>
          <w:rFonts w:cs="Arial"/>
        </w:rPr>
        <w:t>do</w:t>
      </w:r>
      <w:r w:rsidR="00F64958">
        <w:rPr>
          <w:rFonts w:cs="Arial"/>
        </w:rPr>
        <w:t>es</w:t>
      </w:r>
      <w:r w:rsidR="00D13988">
        <w:rPr>
          <w:rFonts w:cs="Arial"/>
        </w:rPr>
        <w:t xml:space="preserve"> not qualify as </w:t>
      </w:r>
      <w:r w:rsidR="00F64958">
        <w:rPr>
          <w:rFonts w:cs="Arial"/>
        </w:rPr>
        <w:t>a “</w:t>
      </w:r>
      <w:r w:rsidR="00D13988">
        <w:rPr>
          <w:rFonts w:cs="Arial"/>
        </w:rPr>
        <w:t>solution.”</w:t>
      </w:r>
      <w:r w:rsidR="000C1F69">
        <w:rPr>
          <w:rFonts w:cs="Arial"/>
        </w:rPr>
        <w:t xml:space="preserve"> As such, </w:t>
      </w:r>
      <w:r w:rsidR="000770D2">
        <w:rPr>
          <w:rFonts w:cs="Arial"/>
        </w:rPr>
        <w:t xml:space="preserve">if a device </w:t>
      </w:r>
      <w:r w:rsidR="00EC6217">
        <w:rPr>
          <w:rFonts w:cs="Arial"/>
        </w:rPr>
        <w:t xml:space="preserve">heats </w:t>
      </w:r>
      <w:r w:rsidR="00FA529D">
        <w:rPr>
          <w:rFonts w:cs="Arial"/>
        </w:rPr>
        <w:t xml:space="preserve">such matter </w:t>
      </w:r>
      <w:r w:rsidR="000770D2">
        <w:rPr>
          <w:rFonts w:cs="Arial"/>
        </w:rPr>
        <w:t xml:space="preserve">to produce vapors for the user to </w:t>
      </w:r>
      <w:r w:rsidR="00EC6217">
        <w:rPr>
          <w:rFonts w:cs="Arial"/>
        </w:rPr>
        <w:t>inhale</w:t>
      </w:r>
      <w:r w:rsidR="00DA13E9">
        <w:rPr>
          <w:rFonts w:cs="Arial"/>
        </w:rPr>
        <w:t xml:space="preserve">, that device </w:t>
      </w:r>
      <w:r w:rsidR="00CD4866">
        <w:rPr>
          <w:rFonts w:cs="Arial"/>
        </w:rPr>
        <w:t xml:space="preserve">does not operate “through an aerosolized solution” and thus falls outside the scope of the POSECCA definition. </w:t>
      </w:r>
      <w:r w:rsidR="00FD6D3D">
        <w:rPr>
          <w:rFonts w:cs="Arial"/>
        </w:rPr>
        <w:lastRenderedPageBreak/>
        <w:t>By the same token, its parts, components, and accessories (as well as the herbal matter used in the device) likewise fall outside of the POSECCA’s scope.</w:t>
      </w:r>
      <w:r w:rsidR="00970C86">
        <w:rPr>
          <w:rStyle w:val="FootnoteReference"/>
          <w:rFonts w:cs="Arial"/>
        </w:rPr>
        <w:footnoteReference w:id="11"/>
      </w:r>
    </w:p>
    <w:p w14:paraId="15219BCB" w14:textId="50A4285C" w:rsidR="000D0EB9" w:rsidRPr="00A47F92" w:rsidRDefault="000214AB" w:rsidP="000D0EB9">
      <w:pPr>
        <w:shd w:val="clear" w:color="auto" w:fill="FFFFFF"/>
        <w:ind w:firstLine="720"/>
        <w:rPr>
          <w:rFonts w:cs="Arial"/>
        </w:rPr>
      </w:pPr>
      <w:r>
        <w:rPr>
          <w:rFonts w:cs="Arial"/>
        </w:rPr>
        <w:t xml:space="preserve">It is emphasized that this analysis </w:t>
      </w:r>
      <w:r w:rsidR="00F3327E">
        <w:rPr>
          <w:rFonts w:cs="Arial"/>
        </w:rPr>
        <w:t>covers</w:t>
      </w:r>
      <w:r>
        <w:rPr>
          <w:rFonts w:cs="Arial"/>
        </w:rPr>
        <w:t xml:space="preserve"> only devices </w:t>
      </w:r>
      <w:r w:rsidR="00FD2954">
        <w:rPr>
          <w:rFonts w:cs="Arial"/>
        </w:rPr>
        <w:t xml:space="preserve">used </w:t>
      </w:r>
      <w:r w:rsidR="00FD2954" w:rsidRPr="00DE2D60">
        <w:rPr>
          <w:rFonts w:cs="Arial"/>
          <w:u w:val="single"/>
        </w:rPr>
        <w:t>exclusively</w:t>
      </w:r>
      <w:r w:rsidR="00FD2954">
        <w:rPr>
          <w:rFonts w:cs="Arial"/>
        </w:rPr>
        <w:t xml:space="preserve"> with</w:t>
      </w:r>
      <w:r w:rsidR="004A54EE">
        <w:rPr>
          <w:rFonts w:cs="Arial"/>
        </w:rPr>
        <w:t xml:space="preserve"> non-solution matter. If </w:t>
      </w:r>
      <w:r w:rsidR="00C30B77">
        <w:rPr>
          <w:rFonts w:cs="Arial"/>
        </w:rPr>
        <w:t>a</w:t>
      </w:r>
      <w:r w:rsidR="004A54EE">
        <w:rPr>
          <w:rFonts w:cs="Arial"/>
        </w:rPr>
        <w:t xml:space="preserve"> device can be used </w:t>
      </w:r>
      <w:r w:rsidR="00983BD9">
        <w:rPr>
          <w:rFonts w:cs="Arial"/>
        </w:rPr>
        <w:t>to aerosolize</w:t>
      </w:r>
      <w:r w:rsidR="004A54EE">
        <w:rPr>
          <w:rFonts w:cs="Arial"/>
        </w:rPr>
        <w:t xml:space="preserve"> a solution as well as non-solution matter</w:t>
      </w:r>
      <w:r w:rsidR="00FB5FF7">
        <w:rPr>
          <w:rFonts w:cs="Arial"/>
        </w:rPr>
        <w:t xml:space="preserve"> for delivery </w:t>
      </w:r>
      <w:r w:rsidR="00A7587E">
        <w:rPr>
          <w:rFonts w:cs="Arial"/>
        </w:rPr>
        <w:t xml:space="preserve">to </w:t>
      </w:r>
      <w:r w:rsidR="00FB5FF7">
        <w:rPr>
          <w:rFonts w:cs="Arial"/>
        </w:rPr>
        <w:t>a user inhaling from the device</w:t>
      </w:r>
      <w:r w:rsidR="004A54EE">
        <w:rPr>
          <w:rFonts w:cs="Arial"/>
        </w:rPr>
        <w:t xml:space="preserve">, then </w:t>
      </w:r>
      <w:r w:rsidR="008F5870">
        <w:rPr>
          <w:rFonts w:cs="Arial"/>
        </w:rPr>
        <w:t xml:space="preserve">the POSECCA definition applies notwithstanding </w:t>
      </w:r>
      <w:r w:rsidR="004E4ED9">
        <w:rPr>
          <w:rFonts w:cs="Arial"/>
        </w:rPr>
        <w:t xml:space="preserve">the device’s </w:t>
      </w:r>
      <w:r w:rsidR="0031655A">
        <w:rPr>
          <w:rFonts w:cs="Arial"/>
        </w:rPr>
        <w:t xml:space="preserve">capability of </w:t>
      </w:r>
      <w:r w:rsidR="005462E1">
        <w:rPr>
          <w:rFonts w:cs="Arial"/>
        </w:rPr>
        <w:t xml:space="preserve">alternative </w:t>
      </w:r>
      <w:r w:rsidR="0031655A">
        <w:rPr>
          <w:rFonts w:cs="Arial"/>
        </w:rPr>
        <w:t>use with non-solution matter</w:t>
      </w:r>
      <w:r w:rsidR="002F4AC2">
        <w:rPr>
          <w:rFonts w:cs="Arial"/>
        </w:rPr>
        <w:t>.</w:t>
      </w:r>
      <w:r w:rsidR="00970C86">
        <w:rPr>
          <w:rFonts w:cs="Arial"/>
        </w:rPr>
        <w:t xml:space="preserve"> </w:t>
      </w:r>
      <w:r w:rsidR="005E6795">
        <w:rPr>
          <w:rFonts w:cs="Arial"/>
        </w:rPr>
        <w:t xml:space="preserve">Finally, it is emphasized again that </w:t>
      </w:r>
      <w:r w:rsidR="009B3D33">
        <w:rPr>
          <w:rFonts w:cs="Arial"/>
        </w:rPr>
        <w:t xml:space="preserve">a device </w:t>
      </w:r>
      <w:r w:rsidR="00711D6E">
        <w:rPr>
          <w:rFonts w:cs="Arial"/>
        </w:rPr>
        <w:t xml:space="preserve">intended for use with controlled substances (e.g., cannabis herbal matter or wax) </w:t>
      </w:r>
      <w:r w:rsidR="007A6705">
        <w:rPr>
          <w:rFonts w:cs="Arial"/>
        </w:rPr>
        <w:t xml:space="preserve">is nonmailable regardless of the POSECCA, </w:t>
      </w:r>
      <w:r w:rsidR="00791994">
        <w:rPr>
          <w:rFonts w:cs="Arial"/>
        </w:rPr>
        <w:t>irrespective</w:t>
      </w:r>
      <w:r w:rsidR="007A6705">
        <w:rPr>
          <w:rFonts w:cs="Arial"/>
        </w:rPr>
        <w:t xml:space="preserve"> of any </w:t>
      </w:r>
      <w:r w:rsidR="003F0624">
        <w:rPr>
          <w:rFonts w:cs="Arial"/>
        </w:rPr>
        <w:t xml:space="preserve">dual </w:t>
      </w:r>
      <w:r w:rsidR="007A6705">
        <w:rPr>
          <w:rFonts w:cs="Arial"/>
        </w:rPr>
        <w:t xml:space="preserve">capability </w:t>
      </w:r>
      <w:r w:rsidR="00A50C9D">
        <w:rPr>
          <w:rFonts w:cs="Arial"/>
        </w:rPr>
        <w:t xml:space="preserve">of </w:t>
      </w:r>
      <w:r w:rsidR="005462E1">
        <w:rPr>
          <w:rFonts w:cs="Arial"/>
        </w:rPr>
        <w:t xml:space="preserve">alternative </w:t>
      </w:r>
      <w:r w:rsidR="003F0624">
        <w:rPr>
          <w:rFonts w:cs="Arial"/>
        </w:rPr>
        <w:t xml:space="preserve">licit </w:t>
      </w:r>
      <w:r w:rsidR="00A50C9D">
        <w:rPr>
          <w:rFonts w:cs="Arial"/>
        </w:rPr>
        <w:t>use</w:t>
      </w:r>
      <w:r w:rsidR="00AC5302">
        <w:rPr>
          <w:rFonts w:cs="Arial"/>
        </w:rPr>
        <w:t>.</w:t>
      </w:r>
    </w:p>
    <w:p w14:paraId="5F9ED4A2" w14:textId="27F3F0E9" w:rsidR="00A13B80" w:rsidRPr="006F5D98" w:rsidRDefault="008708FA" w:rsidP="00FE6779">
      <w:pPr>
        <w:ind w:left="720" w:firstLine="720"/>
        <w:rPr>
          <w:bCs/>
        </w:rPr>
      </w:pPr>
      <w:r w:rsidRPr="00FE6779">
        <w:rPr>
          <w:b/>
          <w:bCs/>
        </w:rPr>
        <w:t>3.</w:t>
      </w:r>
      <w:r w:rsidRPr="00FE6779">
        <w:rPr>
          <w:b/>
          <w:bCs/>
        </w:rPr>
        <w:tab/>
      </w:r>
      <w:bookmarkStart w:id="24" w:name="_Toc79569810"/>
      <w:r w:rsidR="00A13B80" w:rsidRPr="00FE6779">
        <w:rPr>
          <w:b/>
          <w:bCs/>
        </w:rPr>
        <w:t>Heat-Not-Burn Cigarettes</w:t>
      </w:r>
      <w:bookmarkEnd w:id="24"/>
    </w:p>
    <w:p w14:paraId="6B503912" w14:textId="7B18901E" w:rsidR="00A13B80" w:rsidRDefault="00A13B80" w:rsidP="00A13B80">
      <w:pPr>
        <w:shd w:val="clear" w:color="auto" w:fill="FFFFFF"/>
        <w:ind w:firstLine="720"/>
        <w:rPr>
          <w:rFonts w:cs="Arial"/>
        </w:rPr>
      </w:pPr>
      <w:r>
        <w:rPr>
          <w:rFonts w:cs="Arial"/>
        </w:rPr>
        <w:t>O</w:t>
      </w:r>
      <w:r w:rsidRPr="00434C6E">
        <w:rPr>
          <w:rFonts w:cs="Arial"/>
        </w:rPr>
        <w:t xml:space="preserve">ne </w:t>
      </w:r>
      <w:r>
        <w:rPr>
          <w:rFonts w:cs="Arial"/>
        </w:rPr>
        <w:t xml:space="preserve">public-health-oriented </w:t>
      </w:r>
      <w:r w:rsidRPr="00434C6E">
        <w:rPr>
          <w:rFonts w:cs="Arial"/>
        </w:rPr>
        <w:t xml:space="preserve">commenter </w:t>
      </w:r>
      <w:r w:rsidR="00435A78">
        <w:rPr>
          <w:rFonts w:cs="Arial"/>
        </w:rPr>
        <w:t xml:space="preserve">and </w:t>
      </w:r>
      <w:r w:rsidR="00A029B5">
        <w:rPr>
          <w:rFonts w:cs="Arial"/>
        </w:rPr>
        <w:t xml:space="preserve">two </w:t>
      </w:r>
      <w:r w:rsidR="00435A78">
        <w:rPr>
          <w:rFonts w:cs="Arial"/>
        </w:rPr>
        <w:t xml:space="preserve">Federal agency partners </w:t>
      </w:r>
      <w:r w:rsidR="00A029B5">
        <w:rPr>
          <w:rFonts w:cs="Arial"/>
        </w:rPr>
        <w:t>inquired</w:t>
      </w:r>
      <w:r w:rsidR="00435A78">
        <w:rPr>
          <w:rFonts w:cs="Arial"/>
        </w:rPr>
        <w:t xml:space="preserve"> whether </w:t>
      </w:r>
      <w:r>
        <w:rPr>
          <w:rFonts w:cs="Arial"/>
        </w:rPr>
        <w:t xml:space="preserve">so-called </w:t>
      </w:r>
      <w:r w:rsidR="00475BC5">
        <w:rPr>
          <w:rFonts w:cs="Arial"/>
        </w:rPr>
        <w:t>“</w:t>
      </w:r>
      <w:r w:rsidRPr="00434C6E">
        <w:rPr>
          <w:rFonts w:cs="Arial"/>
        </w:rPr>
        <w:t>heat-not-burn cigarettes</w:t>
      </w:r>
      <w:r w:rsidR="00475BC5">
        <w:rPr>
          <w:rFonts w:cs="Arial"/>
        </w:rPr>
        <w:t>”</w:t>
      </w:r>
      <w:r>
        <w:rPr>
          <w:rFonts w:cs="Arial"/>
        </w:rPr>
        <w:t xml:space="preserve"> are nonmailable under the PACT Act, either as ENDS products or as other forms of “cigarettes</w:t>
      </w:r>
      <w:r w:rsidRPr="00434C6E">
        <w:rPr>
          <w:rFonts w:cs="Arial"/>
        </w:rPr>
        <w:t>.</w:t>
      </w:r>
      <w:r>
        <w:rPr>
          <w:rFonts w:cs="Arial"/>
        </w:rPr>
        <w:t>”</w:t>
      </w:r>
    </w:p>
    <w:p w14:paraId="16F3EC97" w14:textId="6AC96D93" w:rsidR="002A59B8" w:rsidRDefault="002A59B8" w:rsidP="002A59B8">
      <w:pPr>
        <w:shd w:val="clear" w:color="auto" w:fill="FFFFFF"/>
        <w:ind w:firstLine="720"/>
        <w:rPr>
          <w:rFonts w:cs="Arial"/>
        </w:rPr>
      </w:pPr>
      <w:r>
        <w:rPr>
          <w:rFonts w:cs="Arial"/>
        </w:rPr>
        <w:t xml:space="preserve">Once again, </w:t>
      </w:r>
      <w:r w:rsidR="00A407A0">
        <w:rPr>
          <w:rFonts w:cs="Arial"/>
        </w:rPr>
        <w:t>ATF</w:t>
      </w:r>
      <w:r>
        <w:rPr>
          <w:rFonts w:cs="Arial"/>
        </w:rPr>
        <w:t xml:space="preserve"> is charged with administering the statutes in which the relevant definitions reside. Questions of whether a particular product falls within these definitions therefore should be directed to </w:t>
      </w:r>
      <w:r w:rsidR="00A407A0">
        <w:rPr>
          <w:rFonts w:cs="Arial"/>
        </w:rPr>
        <w:t>ATF</w:t>
      </w:r>
      <w:r>
        <w:rPr>
          <w:rFonts w:cs="Arial"/>
        </w:rPr>
        <w:t>.</w:t>
      </w:r>
    </w:p>
    <w:p w14:paraId="7FAA48CB" w14:textId="592E1F97" w:rsidR="00A13B80" w:rsidRDefault="00A13B80" w:rsidP="00A13B80">
      <w:pPr>
        <w:shd w:val="clear" w:color="auto" w:fill="FFFFFF"/>
        <w:ind w:firstLine="720"/>
        <w:rPr>
          <w:rFonts w:cs="Arial"/>
        </w:rPr>
      </w:pPr>
      <w:r>
        <w:rPr>
          <w:rFonts w:cs="Arial"/>
        </w:rPr>
        <w:t xml:space="preserve">To the extent that </w:t>
      </w:r>
      <w:r w:rsidR="002A59B8">
        <w:rPr>
          <w:rFonts w:cs="Arial"/>
        </w:rPr>
        <w:t xml:space="preserve">“heat-not-burn cigarette” </w:t>
      </w:r>
      <w:r>
        <w:rPr>
          <w:rFonts w:cs="Arial"/>
        </w:rPr>
        <w:t xml:space="preserve">refers to </w:t>
      </w:r>
      <w:r w:rsidR="002A59B8">
        <w:rPr>
          <w:rFonts w:cs="Arial"/>
        </w:rPr>
        <w:t xml:space="preserve">a </w:t>
      </w:r>
      <w:r>
        <w:rPr>
          <w:rFonts w:cs="Arial"/>
        </w:rPr>
        <w:t xml:space="preserve">product that </w:t>
      </w:r>
      <w:r w:rsidRPr="00434C6E">
        <w:rPr>
          <w:rFonts w:cs="Arial"/>
        </w:rPr>
        <w:t>function</w:t>
      </w:r>
      <w:r w:rsidR="002A59B8">
        <w:rPr>
          <w:rFonts w:cs="Arial"/>
        </w:rPr>
        <w:t>s</w:t>
      </w:r>
      <w:r w:rsidRPr="00434C6E">
        <w:rPr>
          <w:rFonts w:cs="Arial"/>
        </w:rPr>
        <w:t xml:space="preserve"> by heating tobacco lea</w:t>
      </w:r>
      <w:r w:rsidR="000F6837">
        <w:rPr>
          <w:rFonts w:cs="Arial"/>
        </w:rPr>
        <w:t>f matter</w:t>
      </w:r>
      <w:r w:rsidRPr="00434C6E">
        <w:rPr>
          <w:rFonts w:cs="Arial"/>
        </w:rPr>
        <w:t xml:space="preserve"> just shy of the point of combustion, </w:t>
      </w:r>
      <w:r>
        <w:rPr>
          <w:rFonts w:cs="Arial"/>
        </w:rPr>
        <w:t xml:space="preserve">such products </w:t>
      </w:r>
      <w:r w:rsidRPr="00434C6E">
        <w:rPr>
          <w:rFonts w:cs="Arial"/>
        </w:rPr>
        <w:t xml:space="preserve">vaporize </w:t>
      </w:r>
      <w:r>
        <w:rPr>
          <w:rFonts w:cs="Arial"/>
        </w:rPr>
        <w:t>a solid mass of processed tobacco leaf</w:t>
      </w:r>
      <w:r w:rsidRPr="00434C6E">
        <w:rPr>
          <w:rFonts w:cs="Arial"/>
        </w:rPr>
        <w:t xml:space="preserve">, not an aerosolized </w:t>
      </w:r>
      <w:r w:rsidRPr="00434C6E">
        <w:rPr>
          <w:rFonts w:cs="Arial"/>
        </w:rPr>
        <w:lastRenderedPageBreak/>
        <w:t>solution</w:t>
      </w:r>
      <w:r>
        <w:rPr>
          <w:rFonts w:cs="Arial"/>
        </w:rPr>
        <w:t>.</w:t>
      </w:r>
      <w:r w:rsidRPr="00434C6E">
        <w:rPr>
          <w:rFonts w:cs="Arial"/>
        </w:rPr>
        <w:t xml:space="preserve"> </w:t>
      </w:r>
      <w:r>
        <w:rPr>
          <w:rFonts w:cs="Arial"/>
        </w:rPr>
        <w:t xml:space="preserve">As </w:t>
      </w:r>
      <w:r w:rsidR="009D2BDC">
        <w:rPr>
          <w:rFonts w:cs="Arial"/>
        </w:rPr>
        <w:t>discussed in the preceding section</w:t>
      </w:r>
      <w:r>
        <w:rPr>
          <w:rFonts w:cs="Arial"/>
        </w:rPr>
        <w:t xml:space="preserve">, it seems likely that </w:t>
      </w:r>
      <w:r w:rsidR="009D2BDC">
        <w:rPr>
          <w:rFonts w:cs="Arial"/>
        </w:rPr>
        <w:t xml:space="preserve">such products </w:t>
      </w:r>
      <w:r w:rsidRPr="00434C6E">
        <w:rPr>
          <w:rFonts w:cs="Arial"/>
        </w:rPr>
        <w:t xml:space="preserve">fall outside the </w:t>
      </w:r>
      <w:r>
        <w:rPr>
          <w:rFonts w:cs="Arial"/>
        </w:rPr>
        <w:t xml:space="preserve">POSECCA’s </w:t>
      </w:r>
      <w:r w:rsidRPr="00434C6E">
        <w:rPr>
          <w:rFonts w:cs="Arial"/>
        </w:rPr>
        <w:t>definition of ENDS</w:t>
      </w:r>
      <w:r>
        <w:rPr>
          <w:rFonts w:cs="Arial"/>
        </w:rPr>
        <w:t xml:space="preserve"> products</w:t>
      </w:r>
      <w:r w:rsidRPr="00434C6E">
        <w:rPr>
          <w:rFonts w:cs="Arial"/>
        </w:rPr>
        <w:t>.</w:t>
      </w:r>
    </w:p>
    <w:p w14:paraId="42B78B42" w14:textId="77777777" w:rsidR="00A13B80" w:rsidRDefault="00A13B80" w:rsidP="00A13B80">
      <w:pPr>
        <w:shd w:val="clear" w:color="auto" w:fill="FFFFFF"/>
        <w:ind w:firstLine="720"/>
        <w:rPr>
          <w:rFonts w:cs="Arial"/>
        </w:rPr>
      </w:pPr>
      <w:bookmarkStart w:id="25" w:name="_Hlk80103189"/>
      <w:r>
        <w:rPr>
          <w:rFonts w:cs="Arial"/>
        </w:rPr>
        <w:t xml:space="preserve">Nevertheless, many, and perhaps all, such products contain or comprise </w:t>
      </w:r>
      <w:r w:rsidRPr="00434C6E">
        <w:rPr>
          <w:rFonts w:cs="Arial"/>
        </w:rPr>
        <w:t xml:space="preserve">a roll of tobacco wrapped in </w:t>
      </w:r>
      <w:r>
        <w:rPr>
          <w:rFonts w:cs="Arial"/>
        </w:rPr>
        <w:t xml:space="preserve">paper or another </w:t>
      </w:r>
      <w:r w:rsidRPr="00434C6E">
        <w:rPr>
          <w:rFonts w:cs="Arial"/>
        </w:rPr>
        <w:t>substance not containing tobacco</w:t>
      </w:r>
      <w:r>
        <w:rPr>
          <w:rFonts w:cs="Arial"/>
        </w:rPr>
        <w:t xml:space="preserve">. As such, these products may already be nonmailable under the preexisting definition of “cigarette” used for PACT Act purposes. 18 U.S.C. 2341(1)(A), </w:t>
      </w:r>
      <w:r w:rsidRPr="00AF27CF">
        <w:rPr>
          <w:rFonts w:cs="Arial"/>
        </w:rPr>
        <w:t xml:space="preserve">referenced in </w:t>
      </w:r>
      <w:r>
        <w:rPr>
          <w:rFonts w:cs="Arial"/>
        </w:rPr>
        <w:t xml:space="preserve">15 U.S.C. 375(2)(A)(i), </w:t>
      </w:r>
      <w:r w:rsidRPr="00AF27CF">
        <w:rPr>
          <w:rFonts w:cs="Arial"/>
        </w:rPr>
        <w:t xml:space="preserve">referenced in </w:t>
      </w:r>
      <w:r>
        <w:rPr>
          <w:rFonts w:cs="Arial"/>
        </w:rPr>
        <w:t>18 U.S.C. 1716E(a)(1).</w:t>
      </w:r>
      <w:r w:rsidR="00D77830">
        <w:rPr>
          <w:rFonts w:cs="Arial"/>
        </w:rPr>
        <w:t xml:space="preserve"> Such products may also be nonmailable as “smokeless tobacco,” insofar as they contain tobacco and are intended to be consumed without being combusted. 15 U.S.C. 375(13). Parties interested in a definitive opinion are advised to contact ATF</w:t>
      </w:r>
      <w:bookmarkStart w:id="26" w:name="_Hlk80103247"/>
      <w:r w:rsidR="00D77830">
        <w:rPr>
          <w:rFonts w:cs="Arial"/>
        </w:rPr>
        <w:t xml:space="preserve">, as </w:t>
      </w:r>
      <w:r w:rsidR="00D77830">
        <w:t xml:space="preserve">instructed </w:t>
      </w:r>
      <w:r w:rsidR="00D77830">
        <w:rPr>
          <w:rFonts w:cs="Arial"/>
        </w:rPr>
        <w:t>in the new rules</w:t>
      </w:r>
      <w:bookmarkEnd w:id="26"/>
      <w:r w:rsidR="00D77830">
        <w:rPr>
          <w:rFonts w:cs="Arial"/>
        </w:rPr>
        <w:t>.</w:t>
      </w:r>
    </w:p>
    <w:bookmarkEnd w:id="25"/>
    <w:p w14:paraId="27A9C38E" w14:textId="04C3B3FB" w:rsidR="00DB7778" w:rsidRPr="006F5D98" w:rsidRDefault="008708FA" w:rsidP="00FE6779">
      <w:pPr>
        <w:spacing w:after="240" w:line="240" w:lineRule="auto"/>
        <w:ind w:left="2160" w:hanging="720"/>
        <w:rPr>
          <w:bCs/>
        </w:rPr>
      </w:pPr>
      <w:r w:rsidRPr="00FE6779">
        <w:rPr>
          <w:b/>
          <w:bCs/>
        </w:rPr>
        <w:t>4.</w:t>
      </w:r>
      <w:r w:rsidRPr="00FE6779">
        <w:rPr>
          <w:b/>
          <w:bCs/>
        </w:rPr>
        <w:tab/>
      </w:r>
      <w:bookmarkStart w:id="27" w:name="_Toc79569811"/>
      <w:r w:rsidR="00617760" w:rsidRPr="00FE6779">
        <w:rPr>
          <w:b/>
          <w:bCs/>
        </w:rPr>
        <w:t xml:space="preserve">Products That Release Aerosols </w:t>
      </w:r>
      <w:proofErr w:type="gramStart"/>
      <w:r w:rsidR="00617760" w:rsidRPr="00FE6779">
        <w:rPr>
          <w:b/>
          <w:bCs/>
        </w:rPr>
        <w:t>Into</w:t>
      </w:r>
      <w:proofErr w:type="gramEnd"/>
      <w:r w:rsidR="00617760" w:rsidRPr="00FE6779">
        <w:rPr>
          <w:b/>
          <w:bCs/>
        </w:rPr>
        <w:t xml:space="preserve"> Ambient Air</w:t>
      </w:r>
      <w:r w:rsidR="002D4164" w:rsidRPr="00FE6779">
        <w:rPr>
          <w:b/>
          <w:bCs/>
        </w:rPr>
        <w:t>, Not for Direct Inhalation</w:t>
      </w:r>
      <w:bookmarkEnd w:id="27"/>
    </w:p>
    <w:p w14:paraId="36BFF38E" w14:textId="616C1A69" w:rsidR="00DB7778" w:rsidRDefault="00DB7778" w:rsidP="00DB7778">
      <w:pPr>
        <w:shd w:val="clear" w:color="auto" w:fill="FFFFFF"/>
        <w:ind w:firstLine="720"/>
        <w:rPr>
          <w:rFonts w:cs="Arial"/>
        </w:rPr>
      </w:pPr>
      <w:r>
        <w:rPr>
          <w:rFonts w:cs="Arial"/>
        </w:rPr>
        <w:t xml:space="preserve">One ENDS industry </w:t>
      </w:r>
      <w:r w:rsidRPr="00942F90">
        <w:rPr>
          <w:rFonts w:cs="Arial"/>
        </w:rPr>
        <w:t xml:space="preserve">commenter expressed concern that the </w:t>
      </w:r>
      <w:r>
        <w:rPr>
          <w:rFonts w:cs="Arial"/>
        </w:rPr>
        <w:t xml:space="preserve">POSECCA </w:t>
      </w:r>
      <w:r w:rsidRPr="00942F90">
        <w:rPr>
          <w:rFonts w:cs="Arial"/>
        </w:rPr>
        <w:t>defin</w:t>
      </w:r>
      <w:r>
        <w:rPr>
          <w:rFonts w:cs="Arial"/>
        </w:rPr>
        <w:t>ition of ENDS</w:t>
      </w:r>
      <w:r w:rsidRPr="00942F90">
        <w:rPr>
          <w:rFonts w:cs="Arial"/>
        </w:rPr>
        <w:t xml:space="preserve"> would prove so expansive as to encompass </w:t>
      </w:r>
      <w:r w:rsidR="000E30DA">
        <w:rPr>
          <w:rFonts w:cs="Arial"/>
        </w:rPr>
        <w:t xml:space="preserve">air fresheners, </w:t>
      </w:r>
      <w:r w:rsidR="00DE5B7A">
        <w:rPr>
          <w:rFonts w:cs="Arial"/>
        </w:rPr>
        <w:t xml:space="preserve">essential oil misters, </w:t>
      </w:r>
      <w:r w:rsidR="00CB0995">
        <w:rPr>
          <w:rFonts w:cs="Arial"/>
        </w:rPr>
        <w:t xml:space="preserve">portable aromatherapy diffusers, </w:t>
      </w:r>
      <w:r w:rsidR="0050199D">
        <w:rPr>
          <w:rFonts w:cs="Arial"/>
        </w:rPr>
        <w:t xml:space="preserve">electric incense burners, household humidifiers, and other products that </w:t>
      </w:r>
      <w:r w:rsidR="003A2612">
        <w:rPr>
          <w:rFonts w:cs="Arial"/>
        </w:rPr>
        <w:t xml:space="preserve">aerosolize matter </w:t>
      </w:r>
      <w:r w:rsidR="003C4FC7">
        <w:rPr>
          <w:rFonts w:cs="Arial"/>
        </w:rPr>
        <w:t xml:space="preserve">for release </w:t>
      </w:r>
      <w:r w:rsidR="00653528">
        <w:rPr>
          <w:rFonts w:cs="Arial"/>
        </w:rPr>
        <w:t>into ambient air</w:t>
      </w:r>
      <w:r w:rsidR="00837A19">
        <w:rPr>
          <w:rFonts w:cs="Arial"/>
        </w:rPr>
        <w:t>, rather than for direct inhalation</w:t>
      </w:r>
      <w:r w:rsidRPr="00942F90">
        <w:rPr>
          <w:rFonts w:cs="Arial"/>
        </w:rPr>
        <w:t xml:space="preserve">. </w:t>
      </w:r>
      <w:r>
        <w:rPr>
          <w:rFonts w:cs="Arial"/>
        </w:rPr>
        <w:t xml:space="preserve">The commenter proposed </w:t>
      </w:r>
      <w:r w:rsidRPr="00942F90">
        <w:rPr>
          <w:rFonts w:cs="Arial"/>
        </w:rPr>
        <w:t xml:space="preserve">that </w:t>
      </w:r>
      <w:r>
        <w:rPr>
          <w:rFonts w:cs="Arial"/>
        </w:rPr>
        <w:t xml:space="preserve">the Postal Service preclude this purportedly untoward construction by </w:t>
      </w:r>
      <w:r w:rsidRPr="00942F90">
        <w:rPr>
          <w:rFonts w:cs="Arial"/>
        </w:rPr>
        <w:t>appending, to the statutory definition of ENDS (“any electronic device that, through an aerosolized solution, delivers nicotine, flavor, or any other substance to the user inhaling from the device”) an implied limitation: “into the lungs.”</w:t>
      </w:r>
    </w:p>
    <w:p w14:paraId="7CEF67AC" w14:textId="470A5F27" w:rsidR="00DB7778" w:rsidRDefault="00DB7778" w:rsidP="00DB7778">
      <w:pPr>
        <w:shd w:val="clear" w:color="auto" w:fill="FFFFFF"/>
        <w:ind w:firstLine="720"/>
        <w:rPr>
          <w:rFonts w:cs="Arial"/>
        </w:rPr>
      </w:pPr>
      <w:r>
        <w:rPr>
          <w:rFonts w:cs="Arial"/>
        </w:rPr>
        <w:t xml:space="preserve">We note again that </w:t>
      </w:r>
      <w:r w:rsidR="00A407A0">
        <w:rPr>
          <w:rFonts w:cs="Arial"/>
        </w:rPr>
        <w:t>ATF</w:t>
      </w:r>
      <w:r>
        <w:rPr>
          <w:rFonts w:cs="Arial"/>
        </w:rPr>
        <w:t>, not the Postal Service, is charged with administering the definitional statute. Nevertheless, w</w:t>
      </w:r>
      <w:r w:rsidRPr="00942F90">
        <w:rPr>
          <w:rFonts w:cs="Arial"/>
        </w:rPr>
        <w:t xml:space="preserve">e </w:t>
      </w:r>
      <w:r>
        <w:rPr>
          <w:rFonts w:cs="Arial"/>
        </w:rPr>
        <w:t>note that th</w:t>
      </w:r>
      <w:r w:rsidR="00837A19">
        <w:rPr>
          <w:rFonts w:cs="Arial"/>
        </w:rPr>
        <w:t xml:space="preserve">e </w:t>
      </w:r>
      <w:r w:rsidR="00837A19">
        <w:rPr>
          <w:rFonts w:cs="Arial"/>
        </w:rPr>
        <w:lastRenderedPageBreak/>
        <w:t>commenter’s</w:t>
      </w:r>
      <w:r>
        <w:rPr>
          <w:rFonts w:cs="Arial"/>
        </w:rPr>
        <w:t xml:space="preserve"> concern </w:t>
      </w:r>
      <w:r w:rsidR="00BC019B">
        <w:rPr>
          <w:rFonts w:cs="Arial"/>
        </w:rPr>
        <w:t>may</w:t>
      </w:r>
      <w:r>
        <w:rPr>
          <w:rFonts w:cs="Arial"/>
        </w:rPr>
        <w:t xml:space="preserve"> be misplaced</w:t>
      </w:r>
      <w:r w:rsidRPr="00942F90">
        <w:rPr>
          <w:rFonts w:cs="Arial"/>
        </w:rPr>
        <w:t xml:space="preserve">. </w:t>
      </w:r>
      <w:r>
        <w:rPr>
          <w:rFonts w:cs="Arial"/>
        </w:rPr>
        <w:t xml:space="preserve">The POSECCA definition </w:t>
      </w:r>
      <w:r w:rsidR="00BC019B">
        <w:rPr>
          <w:rFonts w:cs="Arial"/>
        </w:rPr>
        <w:t xml:space="preserve">restricts </w:t>
      </w:r>
      <w:r>
        <w:rPr>
          <w:rFonts w:cs="Arial"/>
        </w:rPr>
        <w:t xml:space="preserve">the scope of covered </w:t>
      </w:r>
      <w:r w:rsidR="003978DE">
        <w:rPr>
          <w:rFonts w:cs="Arial"/>
        </w:rPr>
        <w:t xml:space="preserve">ENDS </w:t>
      </w:r>
      <w:r>
        <w:rPr>
          <w:rFonts w:cs="Arial"/>
        </w:rPr>
        <w:t>products</w:t>
      </w:r>
      <w:r w:rsidR="00B95EEE">
        <w:rPr>
          <w:rFonts w:cs="Arial"/>
        </w:rPr>
        <w:t xml:space="preserve"> </w:t>
      </w:r>
      <w:r w:rsidR="001C269B">
        <w:rPr>
          <w:rFonts w:cs="Arial"/>
        </w:rPr>
        <w:t xml:space="preserve">based on delivery of a substance </w:t>
      </w:r>
      <w:r>
        <w:rPr>
          <w:rFonts w:cs="Arial"/>
        </w:rPr>
        <w:t xml:space="preserve">“to the user inhaling </w:t>
      </w:r>
      <w:r w:rsidRPr="00296258">
        <w:rPr>
          <w:rFonts w:cs="Arial"/>
          <w:u w:val="single"/>
        </w:rPr>
        <w:t>from the device</w:t>
      </w:r>
      <w:r>
        <w:rPr>
          <w:rFonts w:cs="Arial"/>
        </w:rPr>
        <w:t xml:space="preserve">.” 15 U.S.C. 375(7)(A) (emphasis added). This </w:t>
      </w:r>
      <w:r w:rsidRPr="00942F90">
        <w:rPr>
          <w:rFonts w:cs="Arial"/>
        </w:rPr>
        <w:t xml:space="preserve">language </w:t>
      </w:r>
      <w:r w:rsidR="00BC019B">
        <w:rPr>
          <w:rFonts w:cs="Arial"/>
        </w:rPr>
        <w:t>could</w:t>
      </w:r>
      <w:r>
        <w:rPr>
          <w:rFonts w:cs="Arial"/>
        </w:rPr>
        <w:t xml:space="preserve"> suggest physical </w:t>
      </w:r>
      <w:r w:rsidRPr="00942F90">
        <w:rPr>
          <w:rFonts w:cs="Arial"/>
        </w:rPr>
        <w:t>contact</w:t>
      </w:r>
      <w:r w:rsidR="00053D6C">
        <w:rPr>
          <w:rFonts w:cs="Arial"/>
        </w:rPr>
        <w:t xml:space="preserve"> or proximity</w:t>
      </w:r>
      <w:r w:rsidRPr="00942F90">
        <w:rPr>
          <w:rFonts w:cs="Arial"/>
        </w:rPr>
        <w:t xml:space="preserve"> between the user’s </w:t>
      </w:r>
      <w:r w:rsidR="00C84E0E">
        <w:rPr>
          <w:rFonts w:cs="Arial"/>
        </w:rPr>
        <w:t xml:space="preserve">nose or </w:t>
      </w:r>
      <w:r w:rsidRPr="00942F90">
        <w:rPr>
          <w:rFonts w:cs="Arial"/>
        </w:rPr>
        <w:t>mouth</w:t>
      </w:r>
      <w:r w:rsidR="001C13D5">
        <w:rPr>
          <w:rFonts w:cs="Arial"/>
        </w:rPr>
        <w:t xml:space="preserve"> </w:t>
      </w:r>
      <w:r w:rsidRPr="00942F90">
        <w:rPr>
          <w:rFonts w:cs="Arial"/>
        </w:rPr>
        <w:t>and the vapor-emitting ENDS</w:t>
      </w:r>
      <w:r>
        <w:rPr>
          <w:rFonts w:cs="Arial"/>
        </w:rPr>
        <w:t xml:space="preserve"> device. By contrast, </w:t>
      </w:r>
      <w:r w:rsidR="0021366B">
        <w:rPr>
          <w:rFonts w:cs="Arial"/>
        </w:rPr>
        <w:t xml:space="preserve">the products described in the comment release aerosolized matter </w:t>
      </w:r>
      <w:r>
        <w:rPr>
          <w:rFonts w:cs="Arial"/>
        </w:rPr>
        <w:t xml:space="preserve">into the ambient air, which in turn is breathed by persons in the room without directly placing their nose or mouth on the </w:t>
      </w:r>
      <w:r w:rsidR="00172545">
        <w:rPr>
          <w:rFonts w:cs="Arial"/>
        </w:rPr>
        <w:t>product</w:t>
      </w:r>
      <w:r w:rsidRPr="00942F90">
        <w:rPr>
          <w:rFonts w:cs="Arial"/>
        </w:rPr>
        <w:t>.</w:t>
      </w:r>
      <w:r>
        <w:rPr>
          <w:rFonts w:cs="Arial"/>
        </w:rPr>
        <w:t xml:space="preserve"> </w:t>
      </w:r>
      <w:r w:rsidR="00797F5B">
        <w:rPr>
          <w:rFonts w:cs="Arial"/>
        </w:rPr>
        <w:t>W</w:t>
      </w:r>
      <w:r w:rsidR="008B5922">
        <w:rPr>
          <w:rFonts w:cs="Arial"/>
        </w:rPr>
        <w:t>hile</w:t>
      </w:r>
      <w:r>
        <w:rPr>
          <w:rFonts w:cs="Arial"/>
        </w:rPr>
        <w:t xml:space="preserve"> </w:t>
      </w:r>
      <w:r w:rsidR="00107B42">
        <w:rPr>
          <w:rFonts w:cs="Arial"/>
        </w:rPr>
        <w:t xml:space="preserve">these products </w:t>
      </w:r>
      <w:r w:rsidR="00884B5D">
        <w:rPr>
          <w:rFonts w:cs="Arial"/>
        </w:rPr>
        <w:t xml:space="preserve">may aerosolize solution to be inhaled by a user, </w:t>
      </w:r>
      <w:r w:rsidR="00797F5B">
        <w:rPr>
          <w:rFonts w:cs="Arial"/>
        </w:rPr>
        <w:t xml:space="preserve">the user </w:t>
      </w:r>
      <w:r w:rsidR="00BC019B">
        <w:rPr>
          <w:rFonts w:cs="Arial"/>
        </w:rPr>
        <w:t xml:space="preserve">arguably </w:t>
      </w:r>
      <w:r w:rsidR="00797F5B">
        <w:rPr>
          <w:rFonts w:cs="Arial"/>
        </w:rPr>
        <w:t xml:space="preserve">does not inhale </w:t>
      </w:r>
      <w:r w:rsidR="008119C1">
        <w:rPr>
          <w:rFonts w:cs="Arial"/>
        </w:rPr>
        <w:t xml:space="preserve">directly </w:t>
      </w:r>
      <w:r w:rsidR="0059676C">
        <w:rPr>
          <w:rFonts w:cs="Arial"/>
        </w:rPr>
        <w:t xml:space="preserve">“from the device.” </w:t>
      </w:r>
      <w:r w:rsidR="008119C1">
        <w:rPr>
          <w:rFonts w:cs="Arial"/>
        </w:rPr>
        <w:t xml:space="preserve">As such, these products (and their components, liquids, parts, and accessories) </w:t>
      </w:r>
      <w:r w:rsidR="00BC019B">
        <w:rPr>
          <w:rFonts w:cs="Arial"/>
        </w:rPr>
        <w:t xml:space="preserve">might </w:t>
      </w:r>
      <w:r>
        <w:rPr>
          <w:rFonts w:cs="Arial"/>
        </w:rPr>
        <w:t>not fall within the scope of the POSECCA’s definition of ENDS.</w:t>
      </w:r>
      <w:r>
        <w:rPr>
          <w:rStyle w:val="FootnoteReference"/>
          <w:rFonts w:cs="Arial"/>
        </w:rPr>
        <w:footnoteReference w:id="12"/>
      </w:r>
      <w:r w:rsidR="006B239B">
        <w:rPr>
          <w:rFonts w:cs="Arial"/>
        </w:rPr>
        <w:t xml:space="preserve"> Again, however, these observations are necessarily tentative; for a definitive interpretation, parties are advised to contact ATF as directed in the new rules.</w:t>
      </w:r>
    </w:p>
    <w:p w14:paraId="105F480C" w14:textId="3AF1FB2D" w:rsidR="00A31162" w:rsidRPr="006F5D98" w:rsidRDefault="008708FA" w:rsidP="00FE6779">
      <w:pPr>
        <w:ind w:left="720" w:firstLine="720"/>
        <w:rPr>
          <w:bCs/>
        </w:rPr>
      </w:pPr>
      <w:r w:rsidRPr="00FE6779">
        <w:rPr>
          <w:b/>
          <w:bCs/>
        </w:rPr>
        <w:t>5.</w:t>
      </w:r>
      <w:r w:rsidRPr="00FE6779">
        <w:rPr>
          <w:b/>
          <w:bCs/>
        </w:rPr>
        <w:tab/>
      </w:r>
      <w:bookmarkStart w:id="28" w:name="_Toc79569812"/>
      <w:r w:rsidR="00A31162" w:rsidRPr="00FE6779">
        <w:rPr>
          <w:b/>
          <w:bCs/>
        </w:rPr>
        <w:t>Natural vs. Synthetic Nicotine</w:t>
      </w:r>
      <w:bookmarkEnd w:id="28"/>
    </w:p>
    <w:p w14:paraId="516E88C7" w14:textId="35162046" w:rsidR="00A31162" w:rsidRDefault="00C009E5" w:rsidP="00FD29E0">
      <w:pPr>
        <w:shd w:val="clear" w:color="auto" w:fill="FFFFFF"/>
        <w:ind w:firstLine="720"/>
        <w:rPr>
          <w:rFonts w:cs="Arial"/>
        </w:rPr>
      </w:pPr>
      <w:r>
        <w:rPr>
          <w:rFonts w:cs="Arial"/>
        </w:rPr>
        <w:t>One ENDS manufacturer</w:t>
      </w:r>
      <w:r w:rsidR="007F37EF">
        <w:rPr>
          <w:rFonts w:cs="Arial"/>
        </w:rPr>
        <w:t xml:space="preserve">, </w:t>
      </w:r>
      <w:r>
        <w:rPr>
          <w:rFonts w:cs="Arial"/>
        </w:rPr>
        <w:t>two public-health-oriented commenters</w:t>
      </w:r>
      <w:r w:rsidR="007F37EF">
        <w:rPr>
          <w:rFonts w:cs="Arial"/>
        </w:rPr>
        <w:t xml:space="preserve">, and </w:t>
      </w:r>
      <w:r w:rsidR="00941957">
        <w:rPr>
          <w:rFonts w:cs="Arial"/>
        </w:rPr>
        <w:t xml:space="preserve">a </w:t>
      </w:r>
      <w:r w:rsidR="005A4A03">
        <w:rPr>
          <w:rFonts w:cs="Arial"/>
        </w:rPr>
        <w:t>F</w:t>
      </w:r>
      <w:r w:rsidR="00941957">
        <w:rPr>
          <w:rFonts w:cs="Arial"/>
        </w:rPr>
        <w:t>ederal agency</w:t>
      </w:r>
      <w:r>
        <w:rPr>
          <w:rFonts w:cs="Arial"/>
        </w:rPr>
        <w:t xml:space="preserve"> </w:t>
      </w:r>
      <w:r w:rsidR="005A4A03">
        <w:rPr>
          <w:rFonts w:cs="Arial"/>
        </w:rPr>
        <w:t xml:space="preserve">partner </w:t>
      </w:r>
      <w:r>
        <w:rPr>
          <w:rFonts w:cs="Arial"/>
        </w:rPr>
        <w:t xml:space="preserve">asked the Postal Service to clarify that </w:t>
      </w:r>
      <w:r w:rsidR="00B130CA">
        <w:rPr>
          <w:rFonts w:cs="Arial"/>
        </w:rPr>
        <w:t>ENDS products include those containing or used with all forms of nicotine, whether natural or synthetic in origin.</w:t>
      </w:r>
    </w:p>
    <w:p w14:paraId="03C40963" w14:textId="5B3760E2" w:rsidR="00C009E5" w:rsidRDefault="00644BA3" w:rsidP="00FD29E0">
      <w:pPr>
        <w:shd w:val="clear" w:color="auto" w:fill="FFFFFF"/>
        <w:ind w:firstLine="720"/>
        <w:rPr>
          <w:rFonts w:cs="Arial"/>
        </w:rPr>
      </w:pPr>
      <w:r>
        <w:rPr>
          <w:rFonts w:cs="Arial"/>
        </w:rPr>
        <w:t xml:space="preserve">The POSECCA </w:t>
      </w:r>
      <w:r w:rsidR="00FF2A4E">
        <w:rPr>
          <w:rFonts w:cs="Arial"/>
        </w:rPr>
        <w:t xml:space="preserve">defines ENDS products by reference to </w:t>
      </w:r>
      <w:r w:rsidR="001E242E">
        <w:rPr>
          <w:rFonts w:cs="Arial"/>
        </w:rPr>
        <w:t xml:space="preserve">the delivery of “nicotine,” among other things. There is no </w:t>
      </w:r>
      <w:r w:rsidR="00F154C8">
        <w:rPr>
          <w:rFonts w:cs="Arial"/>
        </w:rPr>
        <w:t xml:space="preserve">statutory basis to read this term as referring only to natural-origin nicotine, as opposed to synthetic nicotine. As </w:t>
      </w:r>
      <w:r w:rsidR="00F154C8">
        <w:rPr>
          <w:rFonts w:cs="Arial"/>
        </w:rPr>
        <w:lastRenderedPageBreak/>
        <w:t xml:space="preserve">discussed in section </w:t>
      </w:r>
      <w:r w:rsidR="00F154C8" w:rsidRPr="0022072C">
        <w:rPr>
          <w:rFonts w:cs="Arial"/>
        </w:rPr>
        <w:t>III.C.1</w:t>
      </w:r>
      <w:r w:rsidR="00F154C8">
        <w:rPr>
          <w:rFonts w:cs="Arial"/>
        </w:rPr>
        <w:t xml:space="preserve">, </w:t>
      </w:r>
      <w:r w:rsidR="007F37EF">
        <w:rPr>
          <w:rFonts w:cs="Arial"/>
        </w:rPr>
        <w:t xml:space="preserve">this scope of regulation is different from that under the </w:t>
      </w:r>
      <w:r w:rsidR="00141890">
        <w:rPr>
          <w:rFonts w:cs="Arial"/>
        </w:rPr>
        <w:t>FD&amp;C Act</w:t>
      </w:r>
      <w:r w:rsidR="007F37EF">
        <w:rPr>
          <w:rFonts w:cs="Arial"/>
        </w:rPr>
        <w:t xml:space="preserve">, </w:t>
      </w:r>
      <w:r w:rsidR="00590961">
        <w:rPr>
          <w:rFonts w:cs="Arial"/>
        </w:rPr>
        <w:t>for which purposes</w:t>
      </w:r>
      <w:r w:rsidR="00C533CB">
        <w:rPr>
          <w:rFonts w:cs="Arial"/>
        </w:rPr>
        <w:t xml:space="preserve"> the FDA regulates</w:t>
      </w:r>
      <w:r w:rsidR="00590961">
        <w:rPr>
          <w:rFonts w:cs="Arial"/>
        </w:rPr>
        <w:t xml:space="preserve"> nicotine</w:t>
      </w:r>
      <w:r w:rsidR="000A7732">
        <w:rPr>
          <w:rFonts w:cs="Arial"/>
        </w:rPr>
        <w:t xml:space="preserve">-related ENDS products </w:t>
      </w:r>
      <w:r w:rsidR="00053D6C">
        <w:rPr>
          <w:rFonts w:cs="Arial"/>
        </w:rPr>
        <w:t xml:space="preserve">to the extent that </w:t>
      </w:r>
      <w:r w:rsidR="000A7732">
        <w:rPr>
          <w:rFonts w:cs="Arial"/>
        </w:rPr>
        <w:t xml:space="preserve">the nicotine is </w:t>
      </w:r>
      <w:r w:rsidR="00053D6C">
        <w:rPr>
          <w:rFonts w:cs="Arial"/>
        </w:rPr>
        <w:t>made or derived from tobacco</w:t>
      </w:r>
      <w:r w:rsidR="007F37EF">
        <w:rPr>
          <w:rFonts w:cs="Arial"/>
        </w:rPr>
        <w:t>.</w:t>
      </w:r>
      <w:r w:rsidR="000A7732">
        <w:rPr>
          <w:rFonts w:cs="Arial"/>
        </w:rPr>
        <w:t xml:space="preserve"> Beyond this observation </w:t>
      </w:r>
      <w:r w:rsidR="003C10EF">
        <w:rPr>
          <w:rFonts w:cs="Arial"/>
        </w:rPr>
        <w:t xml:space="preserve">about </w:t>
      </w:r>
      <w:r w:rsidR="000A7732">
        <w:rPr>
          <w:rFonts w:cs="Arial"/>
        </w:rPr>
        <w:t xml:space="preserve">the POSECCA’s plain language, interested parties are encouraged to </w:t>
      </w:r>
      <w:r w:rsidR="003C10EF">
        <w:rPr>
          <w:rFonts w:cs="Arial"/>
        </w:rPr>
        <w:t xml:space="preserve">contact </w:t>
      </w:r>
      <w:r w:rsidR="00A407A0">
        <w:rPr>
          <w:rFonts w:cs="Arial"/>
        </w:rPr>
        <w:t>ATF</w:t>
      </w:r>
      <w:r w:rsidR="003C10EF">
        <w:rPr>
          <w:rFonts w:cs="Arial"/>
        </w:rPr>
        <w:t xml:space="preserve"> for further interpretive guidance.</w:t>
      </w:r>
    </w:p>
    <w:p w14:paraId="17BC7BDC" w14:textId="48D4B1CA" w:rsidR="00A31162" w:rsidRPr="006F5D98" w:rsidRDefault="008708FA" w:rsidP="00FE6779">
      <w:pPr>
        <w:ind w:left="720" w:firstLine="720"/>
        <w:rPr>
          <w:bCs/>
        </w:rPr>
      </w:pPr>
      <w:r w:rsidRPr="00FE6779">
        <w:rPr>
          <w:b/>
          <w:bCs/>
        </w:rPr>
        <w:t>6.</w:t>
      </w:r>
      <w:r w:rsidRPr="00FE6779">
        <w:rPr>
          <w:b/>
          <w:bCs/>
        </w:rPr>
        <w:tab/>
      </w:r>
      <w:r w:rsidR="00053D6C" w:rsidRPr="00FE6779">
        <w:rPr>
          <w:b/>
          <w:bCs/>
        </w:rPr>
        <w:t>Scope of Components and Parts</w:t>
      </w:r>
    </w:p>
    <w:p w14:paraId="6AD67083" w14:textId="60A2AE12" w:rsidR="00417370" w:rsidRPr="007C002E" w:rsidRDefault="00024205" w:rsidP="00FD29E0">
      <w:pPr>
        <w:shd w:val="clear" w:color="auto" w:fill="FFFFFF"/>
        <w:ind w:firstLine="720"/>
        <w:rPr>
          <w:rFonts w:cs="Arial"/>
        </w:rPr>
      </w:pPr>
      <w:r w:rsidRPr="00024205">
        <w:rPr>
          <w:rFonts w:cs="Arial"/>
        </w:rPr>
        <w:t xml:space="preserve">In addition to fully assembled vaping devices, the </w:t>
      </w:r>
      <w:r>
        <w:rPr>
          <w:rFonts w:cs="Arial"/>
        </w:rPr>
        <w:t xml:space="preserve">POSECCA </w:t>
      </w:r>
      <w:r w:rsidRPr="00024205">
        <w:rPr>
          <w:rFonts w:cs="Arial"/>
        </w:rPr>
        <w:t>includes in its definition of ENDS “any component, liquid, part, or accessory of [an ENDS], without regard to whether the component, liquid, part, or accessory is sold separately from the device.”</w:t>
      </w:r>
      <w:r>
        <w:rPr>
          <w:rFonts w:cs="Arial"/>
        </w:rPr>
        <w:t xml:space="preserve"> 15 U.S.C. </w:t>
      </w:r>
      <w:r w:rsidR="004B2FA6">
        <w:rPr>
          <w:rFonts w:cs="Arial"/>
        </w:rPr>
        <w:t>375(7)(B)(vii).</w:t>
      </w:r>
      <w:r w:rsidRPr="00024205">
        <w:rPr>
          <w:rFonts w:cs="Arial"/>
        </w:rPr>
        <w:t xml:space="preserve"> </w:t>
      </w:r>
      <w:r w:rsidR="00FB09ED">
        <w:rPr>
          <w:rFonts w:cs="Arial"/>
        </w:rPr>
        <w:t>Some</w:t>
      </w:r>
      <w:r w:rsidR="00A57999">
        <w:rPr>
          <w:rFonts w:cs="Arial"/>
        </w:rPr>
        <w:t xml:space="preserve"> pro-ENDS </w:t>
      </w:r>
      <w:r w:rsidRPr="00024205">
        <w:rPr>
          <w:rFonts w:cs="Arial"/>
        </w:rPr>
        <w:t xml:space="preserve">commenters found this definition to create a line-drawing conundrum, noting that </w:t>
      </w:r>
      <w:r w:rsidR="00417370">
        <w:rPr>
          <w:rFonts w:cs="Arial"/>
        </w:rPr>
        <w:t xml:space="preserve">certain materials used in ENDS devices and liquids are </w:t>
      </w:r>
      <w:r w:rsidRPr="00024205">
        <w:rPr>
          <w:rFonts w:cs="Arial"/>
        </w:rPr>
        <w:t xml:space="preserve">used in a wide array of </w:t>
      </w:r>
      <w:r w:rsidR="00C533CB">
        <w:rPr>
          <w:rFonts w:cs="Arial"/>
        </w:rPr>
        <w:t>non-ENDS</w:t>
      </w:r>
      <w:r w:rsidR="00F7086F">
        <w:rPr>
          <w:rFonts w:cs="Arial"/>
        </w:rPr>
        <w:t xml:space="preserve"> </w:t>
      </w:r>
      <w:r w:rsidRPr="00024205">
        <w:rPr>
          <w:rFonts w:cs="Arial"/>
        </w:rPr>
        <w:t xml:space="preserve">consumer products. </w:t>
      </w:r>
      <w:r w:rsidR="00D20D39">
        <w:rPr>
          <w:rFonts w:cs="Arial"/>
        </w:rPr>
        <w:t xml:space="preserve">A partner agency also suggested that the terms could be interpreted in a manner </w:t>
      </w:r>
      <w:proofErr w:type="gramStart"/>
      <w:r w:rsidR="00D20D39">
        <w:rPr>
          <w:rFonts w:cs="Arial"/>
        </w:rPr>
        <w:t>similar to</w:t>
      </w:r>
      <w:proofErr w:type="gramEnd"/>
      <w:r w:rsidR="00D20D39">
        <w:rPr>
          <w:rFonts w:cs="Arial"/>
        </w:rPr>
        <w:t xml:space="preserve"> the </w:t>
      </w:r>
      <w:r w:rsidR="003C69C6">
        <w:rPr>
          <w:rFonts w:cs="Arial"/>
        </w:rPr>
        <w:t xml:space="preserve">definitions of </w:t>
      </w:r>
      <w:r w:rsidR="009B62EE">
        <w:rPr>
          <w:rFonts w:cs="Arial"/>
        </w:rPr>
        <w:t xml:space="preserve">“accessory” and “component or part” </w:t>
      </w:r>
      <w:r w:rsidR="007C002E">
        <w:rPr>
          <w:rFonts w:cs="Arial"/>
        </w:rPr>
        <w:t xml:space="preserve">for purposes of the FDA’s regulation of certain ENDS products. </w:t>
      </w:r>
      <w:r w:rsidR="007C002E" w:rsidRPr="00AF27CF">
        <w:rPr>
          <w:rFonts w:cs="Arial"/>
        </w:rPr>
        <w:t>See</w:t>
      </w:r>
      <w:r w:rsidR="007C002E">
        <w:rPr>
          <w:rFonts w:cs="Arial"/>
        </w:rPr>
        <w:t xml:space="preserve"> 21 CFR</w:t>
      </w:r>
      <w:r w:rsidR="006D38F6">
        <w:rPr>
          <w:rFonts w:cs="Arial"/>
        </w:rPr>
        <w:t xml:space="preserve"> </w:t>
      </w:r>
      <w:r w:rsidR="007C002E">
        <w:rPr>
          <w:rFonts w:cs="Arial"/>
        </w:rPr>
        <w:t>1100.3.</w:t>
      </w:r>
    </w:p>
    <w:p w14:paraId="5BABC90F" w14:textId="3AC48910" w:rsidR="00893290" w:rsidRDefault="001C4B28" w:rsidP="00FD29E0">
      <w:pPr>
        <w:shd w:val="clear" w:color="auto" w:fill="FFFFFF"/>
        <w:ind w:firstLine="720"/>
        <w:rPr>
          <w:rFonts w:cs="Arial"/>
        </w:rPr>
      </w:pPr>
      <w:r>
        <w:rPr>
          <w:rFonts w:cs="Arial"/>
        </w:rPr>
        <w:t xml:space="preserve">The Postal Service recognizes </w:t>
      </w:r>
      <w:r w:rsidR="008E0809">
        <w:rPr>
          <w:rFonts w:cs="Arial"/>
        </w:rPr>
        <w:t xml:space="preserve">the point and notes that it resonates with other contexts in which </w:t>
      </w:r>
      <w:r w:rsidR="004C501E">
        <w:rPr>
          <w:rFonts w:cs="Arial"/>
        </w:rPr>
        <w:t xml:space="preserve">parts, components, or accessories of a given type of item </w:t>
      </w:r>
      <w:r w:rsidR="000C6DFD">
        <w:rPr>
          <w:rFonts w:cs="Arial"/>
        </w:rPr>
        <w:t xml:space="preserve">may be </w:t>
      </w:r>
      <w:r w:rsidR="004C501E">
        <w:rPr>
          <w:rFonts w:cs="Arial"/>
        </w:rPr>
        <w:t>regulated.</w:t>
      </w:r>
      <w:r w:rsidR="006A5472">
        <w:rPr>
          <w:rFonts w:cs="Arial"/>
        </w:rPr>
        <w:t xml:space="preserve"> </w:t>
      </w:r>
      <w:r w:rsidR="006A5472" w:rsidRPr="00AF27CF">
        <w:rPr>
          <w:rFonts w:cs="Arial"/>
        </w:rPr>
        <w:t>E.g.</w:t>
      </w:r>
      <w:r w:rsidR="006A5472">
        <w:rPr>
          <w:rFonts w:cs="Arial"/>
        </w:rPr>
        <w:t xml:space="preserve">, </w:t>
      </w:r>
      <w:r w:rsidR="0071669F">
        <w:rPr>
          <w:rFonts w:cs="Arial"/>
        </w:rPr>
        <w:t>18 U.S.C. 921(4)(C), (24), (29)(B)</w:t>
      </w:r>
      <w:r w:rsidR="00EA6E44">
        <w:rPr>
          <w:rFonts w:cs="Arial"/>
        </w:rPr>
        <w:t xml:space="preserve">; </w:t>
      </w:r>
      <w:r w:rsidR="00247490">
        <w:rPr>
          <w:rFonts w:cs="Arial"/>
        </w:rPr>
        <w:t>22 U.S.C. 2778(b)(</w:t>
      </w:r>
      <w:r w:rsidR="00767777">
        <w:rPr>
          <w:rFonts w:cs="Arial"/>
        </w:rPr>
        <w:t>1)(B)</w:t>
      </w:r>
      <w:r w:rsidR="00247490">
        <w:rPr>
          <w:rFonts w:cs="Arial"/>
        </w:rPr>
        <w:t xml:space="preserve">; </w:t>
      </w:r>
      <w:r w:rsidR="00EA6E44">
        <w:rPr>
          <w:rFonts w:cs="Arial"/>
        </w:rPr>
        <w:t>26 U.S.C. 5845(b), (f)(3)</w:t>
      </w:r>
      <w:r w:rsidR="00005B4A">
        <w:rPr>
          <w:rFonts w:cs="Arial"/>
        </w:rPr>
        <w:t>; 15 CFR pt. 774, supp. no. 1</w:t>
      </w:r>
      <w:r w:rsidR="000C2C95">
        <w:rPr>
          <w:rFonts w:cs="Arial"/>
        </w:rPr>
        <w:t xml:space="preserve">; </w:t>
      </w:r>
      <w:r w:rsidR="0005759C">
        <w:rPr>
          <w:rFonts w:cs="Arial"/>
        </w:rPr>
        <w:t>22 CFR</w:t>
      </w:r>
      <w:r w:rsidR="006D38F6">
        <w:rPr>
          <w:rFonts w:cs="Arial"/>
        </w:rPr>
        <w:t xml:space="preserve"> </w:t>
      </w:r>
      <w:r w:rsidR="0005759C">
        <w:rPr>
          <w:rFonts w:cs="Arial"/>
        </w:rPr>
        <w:t>121.1</w:t>
      </w:r>
      <w:r w:rsidR="00CD7C9E">
        <w:rPr>
          <w:rFonts w:cs="Arial"/>
        </w:rPr>
        <w:t>.</w:t>
      </w:r>
      <w:r w:rsidR="004C501E">
        <w:rPr>
          <w:rFonts w:cs="Arial"/>
        </w:rPr>
        <w:t xml:space="preserve"> </w:t>
      </w:r>
      <w:r w:rsidR="00BE2518">
        <w:rPr>
          <w:rFonts w:cs="Arial"/>
        </w:rPr>
        <w:t xml:space="preserve">It is necessarily a fact-specific question </w:t>
      </w:r>
      <w:r w:rsidR="001442FD">
        <w:rPr>
          <w:rFonts w:cs="Arial"/>
        </w:rPr>
        <w:t xml:space="preserve">whether an item has a sufficient nexus to the regulated </w:t>
      </w:r>
      <w:proofErr w:type="gramStart"/>
      <w:r w:rsidR="001442FD">
        <w:rPr>
          <w:rFonts w:cs="Arial"/>
        </w:rPr>
        <w:t>end product</w:t>
      </w:r>
      <w:proofErr w:type="gramEnd"/>
      <w:r w:rsidR="001442FD">
        <w:rPr>
          <w:rFonts w:cs="Arial"/>
        </w:rPr>
        <w:t xml:space="preserve"> to itself warrant control</w:t>
      </w:r>
      <w:r w:rsidR="00BE2518">
        <w:rPr>
          <w:rFonts w:cs="Arial"/>
        </w:rPr>
        <w:t xml:space="preserve">; as such, such questions </w:t>
      </w:r>
      <w:r w:rsidR="001442FD">
        <w:rPr>
          <w:rFonts w:cs="Arial"/>
        </w:rPr>
        <w:t xml:space="preserve">may </w:t>
      </w:r>
      <w:r w:rsidR="00564C09">
        <w:rPr>
          <w:rFonts w:cs="Arial"/>
        </w:rPr>
        <w:t xml:space="preserve">require case-by-case determination. </w:t>
      </w:r>
    </w:p>
    <w:p w14:paraId="1BEA6DE6" w14:textId="194AEA9D" w:rsidR="000A532C" w:rsidRDefault="003767F6" w:rsidP="00FD29E0">
      <w:pPr>
        <w:shd w:val="clear" w:color="auto" w:fill="FFFFFF"/>
        <w:ind w:firstLine="720"/>
        <w:rPr>
          <w:rFonts w:cs="Arial"/>
        </w:rPr>
      </w:pPr>
      <w:r>
        <w:rPr>
          <w:rFonts w:cs="Arial"/>
        </w:rPr>
        <w:lastRenderedPageBreak/>
        <w:t>Here, too, i</w:t>
      </w:r>
      <w:r w:rsidR="00024205" w:rsidRPr="00024205">
        <w:rPr>
          <w:rFonts w:cs="Arial"/>
        </w:rPr>
        <w:t xml:space="preserve">nterpretative questions about </w:t>
      </w:r>
      <w:r>
        <w:rPr>
          <w:rFonts w:cs="Arial"/>
        </w:rPr>
        <w:t xml:space="preserve">whether the POSECCA definition codified in the Jenkins Act applies to </w:t>
      </w:r>
      <w:r w:rsidR="00024205" w:rsidRPr="00024205">
        <w:rPr>
          <w:rFonts w:cs="Arial"/>
        </w:rPr>
        <w:t>specific precursor</w:t>
      </w:r>
      <w:r>
        <w:rPr>
          <w:rFonts w:cs="Arial"/>
        </w:rPr>
        <w:t xml:space="preserve"> parts,</w:t>
      </w:r>
      <w:r w:rsidR="00024205" w:rsidRPr="00024205">
        <w:rPr>
          <w:rFonts w:cs="Arial"/>
        </w:rPr>
        <w:t xml:space="preserve"> </w:t>
      </w:r>
      <w:r w:rsidR="00893290">
        <w:rPr>
          <w:rFonts w:cs="Arial"/>
        </w:rPr>
        <w:t xml:space="preserve">components, </w:t>
      </w:r>
      <w:r>
        <w:rPr>
          <w:rFonts w:cs="Arial"/>
        </w:rPr>
        <w:t xml:space="preserve">or accessories </w:t>
      </w:r>
      <w:r w:rsidR="00024205" w:rsidRPr="00024205">
        <w:rPr>
          <w:rFonts w:cs="Arial"/>
        </w:rPr>
        <w:t xml:space="preserve">should be directed to </w:t>
      </w:r>
      <w:r w:rsidR="00A407A0">
        <w:rPr>
          <w:rFonts w:cs="Arial"/>
        </w:rPr>
        <w:t>ATF</w:t>
      </w:r>
      <w:r w:rsidR="00024205" w:rsidRPr="00024205">
        <w:rPr>
          <w:rFonts w:cs="Arial"/>
        </w:rPr>
        <w:t>.</w:t>
      </w:r>
    </w:p>
    <w:p w14:paraId="3BCDAA28" w14:textId="7EDB1B94" w:rsidR="00775C69" w:rsidRPr="006F5D98" w:rsidRDefault="008708FA" w:rsidP="00FE6779">
      <w:pPr>
        <w:ind w:firstLine="720"/>
        <w:rPr>
          <w:bCs/>
        </w:rPr>
      </w:pPr>
      <w:r w:rsidRPr="00FE6779">
        <w:rPr>
          <w:b/>
          <w:bCs/>
        </w:rPr>
        <w:t>E.</w:t>
      </w:r>
      <w:r w:rsidRPr="00FE6779">
        <w:rPr>
          <w:b/>
          <w:bCs/>
        </w:rPr>
        <w:tab/>
      </w:r>
      <w:bookmarkStart w:id="29" w:name="_Toc79569814"/>
      <w:r w:rsidR="00016516" w:rsidRPr="00FE6779">
        <w:rPr>
          <w:b/>
          <w:bCs/>
        </w:rPr>
        <w:t>Exclusion of Tobacco</w:t>
      </w:r>
      <w:r w:rsidR="00780FAA" w:rsidRPr="00FE6779">
        <w:rPr>
          <w:b/>
          <w:bCs/>
        </w:rPr>
        <w:t xml:space="preserve"> </w:t>
      </w:r>
      <w:r w:rsidR="00016516" w:rsidRPr="00FE6779">
        <w:rPr>
          <w:b/>
          <w:bCs/>
        </w:rPr>
        <w:t>Cessation and Therapeutic Products</w:t>
      </w:r>
      <w:bookmarkEnd w:id="29"/>
    </w:p>
    <w:p w14:paraId="5CACCF71" w14:textId="20CAEFC0" w:rsidR="00775C69" w:rsidRDefault="000C10D8" w:rsidP="00FD29E0">
      <w:pPr>
        <w:shd w:val="clear" w:color="auto" w:fill="FFFFFF"/>
        <w:ind w:firstLine="720"/>
        <w:rPr>
          <w:rFonts w:cs="Arial"/>
        </w:rPr>
      </w:pPr>
      <w:r>
        <w:rPr>
          <w:rFonts w:cs="Arial"/>
        </w:rPr>
        <w:t xml:space="preserve">The POSECCA excludes from the definition of ENDS products any </w:t>
      </w:r>
      <w:r w:rsidR="00852FE8">
        <w:rPr>
          <w:rFonts w:cs="Arial"/>
        </w:rPr>
        <w:t xml:space="preserve">such products </w:t>
      </w:r>
      <w:r>
        <w:rPr>
          <w:rFonts w:cs="Arial"/>
        </w:rPr>
        <w:t xml:space="preserve">that </w:t>
      </w:r>
      <w:r w:rsidR="00EF35EC">
        <w:rPr>
          <w:rFonts w:cs="Arial"/>
        </w:rPr>
        <w:t xml:space="preserve">are approved by the FDA for sale as a </w:t>
      </w:r>
      <w:r w:rsidR="00105368">
        <w:rPr>
          <w:rFonts w:cs="Arial"/>
        </w:rPr>
        <w:t xml:space="preserve">tobacco cessation </w:t>
      </w:r>
      <w:r w:rsidR="00C71A43">
        <w:rPr>
          <w:rFonts w:cs="Arial"/>
        </w:rPr>
        <w:t xml:space="preserve">product </w:t>
      </w:r>
      <w:r w:rsidR="001B1A77">
        <w:rPr>
          <w:rFonts w:cs="Arial"/>
        </w:rPr>
        <w:t xml:space="preserve">or for any therapeutic purpose, </w:t>
      </w:r>
      <w:r w:rsidR="00893BDD">
        <w:rPr>
          <w:rFonts w:cs="Arial"/>
        </w:rPr>
        <w:t xml:space="preserve">and that are marketed and sold solely for </w:t>
      </w:r>
      <w:r w:rsidR="00E31AE1">
        <w:rPr>
          <w:rFonts w:cs="Arial"/>
        </w:rPr>
        <w:t>such purposes.</w:t>
      </w:r>
      <w:r w:rsidR="009E7985">
        <w:rPr>
          <w:rFonts w:cs="Arial"/>
        </w:rPr>
        <w:t xml:space="preserve"> 15 U.S.C. 375(7)</w:t>
      </w:r>
      <w:r w:rsidR="00884F50">
        <w:rPr>
          <w:rFonts w:cs="Arial"/>
        </w:rPr>
        <w:t>(C).</w:t>
      </w:r>
    </w:p>
    <w:p w14:paraId="7F11ABA6" w14:textId="15641559" w:rsidR="00CC13C1" w:rsidRDefault="00E52DB9" w:rsidP="00FD29E0">
      <w:pPr>
        <w:shd w:val="clear" w:color="auto" w:fill="FFFFFF"/>
        <w:ind w:firstLine="720"/>
        <w:rPr>
          <w:rFonts w:cs="Arial"/>
        </w:rPr>
      </w:pPr>
      <w:r>
        <w:rPr>
          <w:rFonts w:cs="Arial"/>
        </w:rPr>
        <w:t>Multiple</w:t>
      </w:r>
      <w:r w:rsidR="00FC4E20">
        <w:rPr>
          <w:rFonts w:cs="Arial"/>
        </w:rPr>
        <w:t xml:space="preserve"> public-health-oriented commenters </w:t>
      </w:r>
      <w:r w:rsidR="000114BD">
        <w:rPr>
          <w:rFonts w:cs="Arial"/>
        </w:rPr>
        <w:t xml:space="preserve">and law students </w:t>
      </w:r>
      <w:r w:rsidR="00FC4E20">
        <w:rPr>
          <w:rFonts w:cs="Arial"/>
        </w:rPr>
        <w:t>recommended that the Postal Service disallow the exclusion at this juncture</w:t>
      </w:r>
      <w:r w:rsidR="009254E1">
        <w:rPr>
          <w:rFonts w:cs="Arial"/>
        </w:rPr>
        <w:t xml:space="preserve">, or at least </w:t>
      </w:r>
      <w:r w:rsidR="00A07347">
        <w:rPr>
          <w:rFonts w:cs="Arial"/>
        </w:rPr>
        <w:t>establish a presumption that mailed ENDS products are not covered by the exclusion</w:t>
      </w:r>
      <w:r w:rsidR="0006339A">
        <w:rPr>
          <w:rFonts w:cs="Arial"/>
        </w:rPr>
        <w:t xml:space="preserve">. These commenters pointed out that </w:t>
      </w:r>
      <w:r w:rsidR="00FC4E20">
        <w:rPr>
          <w:rFonts w:cs="Arial"/>
        </w:rPr>
        <w:t xml:space="preserve">no </w:t>
      </w:r>
      <w:r w:rsidR="0041564C">
        <w:rPr>
          <w:rFonts w:cs="Arial"/>
        </w:rPr>
        <w:t>such products have been approved by the FDA</w:t>
      </w:r>
      <w:r w:rsidR="002D1FBA">
        <w:rPr>
          <w:rFonts w:cs="Arial"/>
        </w:rPr>
        <w:t xml:space="preserve">. Hence, </w:t>
      </w:r>
      <w:r w:rsidR="00B94532">
        <w:rPr>
          <w:rFonts w:cs="Arial"/>
        </w:rPr>
        <w:t xml:space="preserve">given the prevalence of non-validated tobacco-cessation and other health claims </w:t>
      </w:r>
      <w:r w:rsidR="009C4BAB">
        <w:rPr>
          <w:rFonts w:cs="Arial"/>
        </w:rPr>
        <w:t xml:space="preserve">by the industry </w:t>
      </w:r>
      <w:r w:rsidR="00B94532">
        <w:rPr>
          <w:rFonts w:cs="Arial"/>
        </w:rPr>
        <w:t xml:space="preserve">in association with ENDS products, </w:t>
      </w:r>
      <w:r w:rsidR="0006339A">
        <w:rPr>
          <w:rFonts w:cs="Arial"/>
        </w:rPr>
        <w:t xml:space="preserve">allowing mailers to purport </w:t>
      </w:r>
      <w:r w:rsidR="00E37FF6">
        <w:rPr>
          <w:rFonts w:cs="Arial"/>
        </w:rPr>
        <w:t>to use the exclusion would arguably invite deceptive practices</w:t>
      </w:r>
      <w:r w:rsidR="00C8603B">
        <w:rPr>
          <w:rFonts w:cs="Arial"/>
        </w:rPr>
        <w:t xml:space="preserve"> </w:t>
      </w:r>
      <w:r w:rsidR="00E37FF6">
        <w:rPr>
          <w:rFonts w:cs="Arial"/>
        </w:rPr>
        <w:t>and complicate enforcement.</w:t>
      </w:r>
    </w:p>
    <w:p w14:paraId="4957AF33" w14:textId="4DE6AA9B" w:rsidR="001179FF" w:rsidRDefault="00E52DB9" w:rsidP="00FD29E0">
      <w:pPr>
        <w:shd w:val="clear" w:color="auto" w:fill="FFFFFF"/>
        <w:ind w:firstLine="720"/>
        <w:rPr>
          <w:rFonts w:cs="Arial"/>
        </w:rPr>
      </w:pPr>
      <w:r>
        <w:rPr>
          <w:rFonts w:cs="Arial"/>
        </w:rPr>
        <w:t xml:space="preserve">Two </w:t>
      </w:r>
      <w:r w:rsidR="00616C7F">
        <w:rPr>
          <w:rFonts w:cs="Arial"/>
        </w:rPr>
        <w:t xml:space="preserve">public-health-oriented </w:t>
      </w:r>
      <w:r w:rsidR="00D33D83">
        <w:rPr>
          <w:rFonts w:cs="Arial"/>
        </w:rPr>
        <w:t>commenter</w:t>
      </w:r>
      <w:r>
        <w:rPr>
          <w:rFonts w:cs="Arial"/>
        </w:rPr>
        <w:t>s</w:t>
      </w:r>
      <w:r w:rsidR="00E956F3">
        <w:rPr>
          <w:rFonts w:cs="Arial"/>
        </w:rPr>
        <w:t xml:space="preserve"> </w:t>
      </w:r>
      <w:r w:rsidR="00873FA9">
        <w:rPr>
          <w:rFonts w:cs="Arial"/>
        </w:rPr>
        <w:t xml:space="preserve">and one law student </w:t>
      </w:r>
      <w:r w:rsidR="00E956F3">
        <w:rPr>
          <w:rFonts w:cs="Arial"/>
        </w:rPr>
        <w:t xml:space="preserve">went </w:t>
      </w:r>
      <w:r w:rsidR="00873FA9">
        <w:rPr>
          <w:rFonts w:cs="Arial"/>
        </w:rPr>
        <w:t xml:space="preserve">farther </w:t>
      </w:r>
      <w:r w:rsidR="00E956F3">
        <w:rPr>
          <w:rFonts w:cs="Arial"/>
        </w:rPr>
        <w:t>and</w:t>
      </w:r>
      <w:r w:rsidR="00D33D83">
        <w:rPr>
          <w:rFonts w:cs="Arial"/>
        </w:rPr>
        <w:t xml:space="preserve"> </w:t>
      </w:r>
      <w:r w:rsidR="002E59FD">
        <w:rPr>
          <w:rFonts w:cs="Arial"/>
        </w:rPr>
        <w:t xml:space="preserve">offered specific proposals for how the Postal Service could administer the exclusion </w:t>
      </w:r>
      <w:proofErr w:type="gramStart"/>
      <w:r w:rsidR="00296533">
        <w:rPr>
          <w:rFonts w:cs="Arial"/>
        </w:rPr>
        <w:t>if and when</w:t>
      </w:r>
      <w:proofErr w:type="gramEnd"/>
      <w:r w:rsidR="00296533">
        <w:rPr>
          <w:rFonts w:cs="Arial"/>
        </w:rPr>
        <w:t xml:space="preserve"> the FDA </w:t>
      </w:r>
      <w:r w:rsidR="003F6A9E">
        <w:rPr>
          <w:rFonts w:cs="Arial"/>
        </w:rPr>
        <w:t>issues a pertinent approval.</w:t>
      </w:r>
      <w:r w:rsidR="00EA252E">
        <w:rPr>
          <w:rFonts w:cs="Arial"/>
        </w:rPr>
        <w:t xml:space="preserve"> As envisioned by </w:t>
      </w:r>
      <w:r w:rsidR="009835E8">
        <w:rPr>
          <w:rFonts w:cs="Arial"/>
        </w:rPr>
        <w:t xml:space="preserve">one public-health-oriented </w:t>
      </w:r>
      <w:r w:rsidR="00EA252E">
        <w:rPr>
          <w:rFonts w:cs="Arial"/>
        </w:rPr>
        <w:t>commenter, the FDA would formally inform the Postal Service of its approval</w:t>
      </w:r>
      <w:r w:rsidR="00401740">
        <w:rPr>
          <w:rFonts w:cs="Arial"/>
        </w:rPr>
        <w:t xml:space="preserve">, whereupon the Postal Service would </w:t>
      </w:r>
      <w:r w:rsidR="00B122A3">
        <w:rPr>
          <w:rFonts w:cs="Arial"/>
        </w:rPr>
        <w:t xml:space="preserve">collaborate with the FDA and manufacturers to </w:t>
      </w:r>
      <w:r w:rsidR="0006022C">
        <w:rPr>
          <w:rFonts w:cs="Arial"/>
        </w:rPr>
        <w:t xml:space="preserve">establish a list of </w:t>
      </w:r>
      <w:r w:rsidR="00F65D7F">
        <w:rPr>
          <w:rFonts w:cs="Arial"/>
        </w:rPr>
        <w:t xml:space="preserve">eligible </w:t>
      </w:r>
      <w:r w:rsidR="000B24C3">
        <w:rPr>
          <w:rFonts w:cs="Arial"/>
        </w:rPr>
        <w:t>shippers</w:t>
      </w:r>
      <w:r w:rsidR="00F32370">
        <w:rPr>
          <w:rFonts w:cs="Arial"/>
        </w:rPr>
        <w:t xml:space="preserve"> (e.g., </w:t>
      </w:r>
      <w:r w:rsidR="008A1632">
        <w:rPr>
          <w:rFonts w:cs="Arial"/>
        </w:rPr>
        <w:t>medical</w:t>
      </w:r>
      <w:r w:rsidR="00F65D7F">
        <w:rPr>
          <w:rFonts w:cs="Arial"/>
        </w:rPr>
        <w:t xml:space="preserve">-product distributors, health departments, or healthcare facilities) who </w:t>
      </w:r>
      <w:r w:rsidR="00AF3283">
        <w:rPr>
          <w:rFonts w:cs="Arial"/>
        </w:rPr>
        <w:t xml:space="preserve">might apply </w:t>
      </w:r>
      <w:r w:rsidR="00AF3283">
        <w:rPr>
          <w:rFonts w:cs="Arial"/>
        </w:rPr>
        <w:lastRenderedPageBreak/>
        <w:t xml:space="preserve">for permission to mail under the exclusion. </w:t>
      </w:r>
      <w:r w:rsidR="000C6A9A">
        <w:rPr>
          <w:rFonts w:cs="Arial"/>
        </w:rPr>
        <w:t xml:space="preserve">The second such commenter proposed that </w:t>
      </w:r>
      <w:r w:rsidR="00F62435">
        <w:rPr>
          <w:rFonts w:cs="Arial"/>
        </w:rPr>
        <w:t>mailers should have to provide an FDA approval letter at the time of mailing, not merely mark the package as an excluded tobacco-cessation or therapeutic product.</w:t>
      </w:r>
      <w:r w:rsidR="00263445">
        <w:rPr>
          <w:rFonts w:cs="Arial"/>
        </w:rPr>
        <w:t xml:space="preserve"> The law student </w:t>
      </w:r>
      <w:r w:rsidR="00166976">
        <w:rPr>
          <w:rFonts w:cs="Arial"/>
        </w:rPr>
        <w:t xml:space="preserve">recommended </w:t>
      </w:r>
      <w:r w:rsidR="00263445">
        <w:rPr>
          <w:rFonts w:cs="Arial"/>
        </w:rPr>
        <w:t>that</w:t>
      </w:r>
      <w:r w:rsidR="00DF0873">
        <w:rPr>
          <w:rFonts w:cs="Arial"/>
        </w:rPr>
        <w:t xml:space="preserve"> mailers be required to clearly mark the manufacturer and brand on the exterior of mailpieces, </w:t>
      </w:r>
      <w:r w:rsidR="004F5258">
        <w:rPr>
          <w:rFonts w:cs="Arial"/>
        </w:rPr>
        <w:t xml:space="preserve">to ease </w:t>
      </w:r>
      <w:r w:rsidR="00F775F5">
        <w:rPr>
          <w:rFonts w:cs="Arial"/>
        </w:rPr>
        <w:t>verification against a Postal Service list of approved products</w:t>
      </w:r>
      <w:r w:rsidR="00592980">
        <w:rPr>
          <w:rFonts w:cs="Arial"/>
        </w:rPr>
        <w:t>,</w:t>
      </w:r>
      <w:r w:rsidR="00242862">
        <w:rPr>
          <w:rFonts w:cs="Arial"/>
        </w:rPr>
        <w:t xml:space="preserve"> and </w:t>
      </w:r>
      <w:r w:rsidR="00852DA8">
        <w:rPr>
          <w:rFonts w:cs="Arial"/>
        </w:rPr>
        <w:t>that age verification be required at delivery</w:t>
      </w:r>
      <w:r w:rsidR="00E56689">
        <w:rPr>
          <w:rFonts w:cs="Arial"/>
        </w:rPr>
        <w:t>.</w:t>
      </w:r>
    </w:p>
    <w:p w14:paraId="33CA1524" w14:textId="245C506C" w:rsidR="00B73FBD" w:rsidRDefault="00866F5F" w:rsidP="00FD29E0">
      <w:pPr>
        <w:shd w:val="clear" w:color="auto" w:fill="FFFFFF"/>
        <w:ind w:firstLine="720"/>
        <w:rPr>
          <w:rFonts w:cs="Arial"/>
        </w:rPr>
      </w:pPr>
      <w:r>
        <w:rPr>
          <w:rFonts w:cs="Arial"/>
        </w:rPr>
        <w:t xml:space="preserve">One </w:t>
      </w:r>
      <w:r w:rsidR="00211DD8">
        <w:rPr>
          <w:rFonts w:cs="Arial"/>
        </w:rPr>
        <w:t xml:space="preserve">ENDS </w:t>
      </w:r>
      <w:r>
        <w:rPr>
          <w:rFonts w:cs="Arial"/>
        </w:rPr>
        <w:t xml:space="preserve">industry commenter </w:t>
      </w:r>
      <w:r w:rsidR="00D738E7">
        <w:rPr>
          <w:rFonts w:cs="Arial"/>
        </w:rPr>
        <w:t xml:space="preserve">opined that the </w:t>
      </w:r>
      <w:r w:rsidR="00EC1DF5">
        <w:rPr>
          <w:rFonts w:cs="Arial"/>
        </w:rPr>
        <w:t xml:space="preserve">exclusion </w:t>
      </w:r>
      <w:r w:rsidR="00705076">
        <w:rPr>
          <w:rFonts w:cs="Arial"/>
        </w:rPr>
        <w:t xml:space="preserve">pertains to drug protocols and would </w:t>
      </w:r>
      <w:r w:rsidR="0005143E">
        <w:rPr>
          <w:rFonts w:cs="Arial"/>
        </w:rPr>
        <w:t xml:space="preserve">paradoxically </w:t>
      </w:r>
      <w:r w:rsidR="00705076">
        <w:rPr>
          <w:rFonts w:cs="Arial"/>
        </w:rPr>
        <w:t>exclude the ENDS industry</w:t>
      </w:r>
      <w:r w:rsidR="00EC1DF5">
        <w:rPr>
          <w:rFonts w:cs="Arial"/>
        </w:rPr>
        <w:t>.</w:t>
      </w:r>
      <w:r w:rsidR="002C721A">
        <w:rPr>
          <w:rFonts w:cs="Arial"/>
        </w:rPr>
        <w:t xml:space="preserve"> The commenter went on to </w:t>
      </w:r>
      <w:r w:rsidR="006875F5">
        <w:rPr>
          <w:rFonts w:cs="Arial"/>
        </w:rPr>
        <w:t xml:space="preserve">quote </w:t>
      </w:r>
      <w:r w:rsidR="00D44F36">
        <w:rPr>
          <w:rFonts w:cs="Arial"/>
        </w:rPr>
        <w:t xml:space="preserve">from a court opinion to the effect that the FDA </w:t>
      </w:r>
      <w:r w:rsidR="009D7ED0">
        <w:rPr>
          <w:rFonts w:cs="Arial"/>
        </w:rPr>
        <w:t xml:space="preserve">is authorized to regulate </w:t>
      </w:r>
      <w:r w:rsidR="00EE15A4">
        <w:rPr>
          <w:rFonts w:cs="Arial"/>
        </w:rPr>
        <w:t>“customarily marketed tobacco products</w:t>
      </w:r>
      <w:r w:rsidR="004A2FC1">
        <w:rPr>
          <w:rFonts w:cs="Arial"/>
        </w:rPr>
        <w:t>—</w:t>
      </w:r>
      <w:r w:rsidR="00EE15A4">
        <w:rPr>
          <w:rFonts w:cs="Arial"/>
        </w:rPr>
        <w:t xml:space="preserve">including </w:t>
      </w:r>
      <w:r w:rsidR="00F658A7">
        <w:rPr>
          <w:rFonts w:cs="Arial"/>
        </w:rPr>
        <w:t>e-cigarettes</w:t>
      </w:r>
      <w:r w:rsidR="004A2FC1">
        <w:rPr>
          <w:rFonts w:cs="Arial"/>
        </w:rPr>
        <w:t>—</w:t>
      </w:r>
      <w:r w:rsidR="00EE15A4">
        <w:rPr>
          <w:rFonts w:cs="Arial"/>
        </w:rPr>
        <w:t>under the Tobacco Control Act</w:t>
      </w:r>
      <w:r w:rsidR="00F658A7">
        <w:rPr>
          <w:rFonts w:cs="Arial"/>
        </w:rPr>
        <w:t>”</w:t>
      </w:r>
      <w:r w:rsidR="00EE15A4">
        <w:rPr>
          <w:rFonts w:cs="Arial"/>
        </w:rPr>
        <w:t xml:space="preserve"> and “therapeutically marketed </w:t>
      </w:r>
      <w:r w:rsidR="00F658A7">
        <w:rPr>
          <w:rFonts w:cs="Arial"/>
        </w:rPr>
        <w:t>tobacco products under the [</w:t>
      </w:r>
      <w:r w:rsidR="00141890">
        <w:rPr>
          <w:rFonts w:cs="Arial"/>
        </w:rPr>
        <w:t>FD&amp;C Act</w:t>
      </w:r>
      <w:r w:rsidR="00F658A7">
        <w:rPr>
          <w:rFonts w:cs="Arial"/>
        </w:rPr>
        <w:t xml:space="preserve">’s] drug/device provisions.” </w:t>
      </w:r>
      <w:proofErr w:type="spellStart"/>
      <w:r w:rsidR="004E33F6">
        <w:rPr>
          <w:rFonts w:cs="Arial"/>
          <w:i/>
          <w:iCs/>
        </w:rPr>
        <w:t>Sottera</w:t>
      </w:r>
      <w:proofErr w:type="spellEnd"/>
      <w:r w:rsidR="004E33F6">
        <w:rPr>
          <w:rFonts w:cs="Arial"/>
          <w:i/>
          <w:iCs/>
        </w:rPr>
        <w:t>, Inc. v. FDA</w:t>
      </w:r>
      <w:r w:rsidR="004E33F6">
        <w:rPr>
          <w:rFonts w:cs="Arial"/>
        </w:rPr>
        <w:t xml:space="preserve">, 627 F.3d 891, </w:t>
      </w:r>
      <w:r w:rsidR="00812E09">
        <w:rPr>
          <w:rFonts w:cs="Arial"/>
        </w:rPr>
        <w:t>898</w:t>
      </w:r>
      <w:r w:rsidR="00DE3A39">
        <w:rPr>
          <w:rFonts w:cs="Arial"/>
        </w:rPr>
        <w:t>–</w:t>
      </w:r>
      <w:r w:rsidR="00812E09">
        <w:rPr>
          <w:rFonts w:cs="Arial"/>
        </w:rPr>
        <w:t>99 (D.C. Cir. 2010).</w:t>
      </w:r>
    </w:p>
    <w:p w14:paraId="2D3B8C28" w14:textId="60D3C9DA" w:rsidR="00812E09" w:rsidRDefault="000F5A10" w:rsidP="00FD29E0">
      <w:pPr>
        <w:shd w:val="clear" w:color="auto" w:fill="FFFFFF"/>
        <w:ind w:firstLine="720"/>
        <w:rPr>
          <w:rFonts w:cs="Arial"/>
        </w:rPr>
      </w:pPr>
      <w:r>
        <w:rPr>
          <w:rFonts w:cs="Arial"/>
        </w:rPr>
        <w:t>A</w:t>
      </w:r>
      <w:r w:rsidR="00D6378C">
        <w:rPr>
          <w:rFonts w:cs="Arial"/>
        </w:rPr>
        <w:t xml:space="preserve"> manufacturer of </w:t>
      </w:r>
      <w:r w:rsidR="00512653">
        <w:rPr>
          <w:rFonts w:cs="Arial"/>
        </w:rPr>
        <w:t>herbal vaporizers</w:t>
      </w:r>
      <w:r w:rsidR="00E42588">
        <w:rPr>
          <w:rFonts w:cs="Arial"/>
        </w:rPr>
        <w:t xml:space="preserve"> </w:t>
      </w:r>
      <w:r w:rsidR="00130164">
        <w:rPr>
          <w:rFonts w:cs="Arial"/>
        </w:rPr>
        <w:t xml:space="preserve">proposed that mailers be allowed to self-certify </w:t>
      </w:r>
      <w:r w:rsidR="004711F3">
        <w:rPr>
          <w:rFonts w:cs="Arial"/>
        </w:rPr>
        <w:t>the eligibility of a product for the exclusion</w:t>
      </w:r>
      <w:r w:rsidR="00375940">
        <w:rPr>
          <w:rFonts w:cs="Arial"/>
        </w:rPr>
        <w:t xml:space="preserve"> via distinctive labeling on the package</w:t>
      </w:r>
      <w:r w:rsidR="002C386C">
        <w:rPr>
          <w:rFonts w:cs="Arial"/>
        </w:rPr>
        <w:t xml:space="preserve">, </w:t>
      </w:r>
      <w:r w:rsidR="00375940">
        <w:rPr>
          <w:rFonts w:cs="Arial"/>
        </w:rPr>
        <w:t xml:space="preserve">backed </w:t>
      </w:r>
      <w:r w:rsidR="002C386C">
        <w:rPr>
          <w:rFonts w:cs="Arial"/>
        </w:rPr>
        <w:t xml:space="preserve">by recordkeeping requirements </w:t>
      </w:r>
      <w:proofErr w:type="gramStart"/>
      <w:r w:rsidR="002C386C">
        <w:rPr>
          <w:rFonts w:cs="Arial"/>
        </w:rPr>
        <w:t>similar to</w:t>
      </w:r>
      <w:proofErr w:type="gramEnd"/>
      <w:r w:rsidR="002C386C">
        <w:rPr>
          <w:rFonts w:cs="Arial"/>
        </w:rPr>
        <w:t xml:space="preserve"> those </w:t>
      </w:r>
      <w:r w:rsidR="002936C2">
        <w:rPr>
          <w:rFonts w:cs="Arial"/>
        </w:rPr>
        <w:t xml:space="preserve">for hemp-based </w:t>
      </w:r>
      <w:r w:rsidR="00984EB4">
        <w:rPr>
          <w:rFonts w:cs="Arial"/>
        </w:rPr>
        <w:t>cannabidiol (</w:t>
      </w:r>
      <w:r w:rsidR="007A54C0">
        <w:rPr>
          <w:rFonts w:cs="Arial"/>
        </w:rPr>
        <w:t>“</w:t>
      </w:r>
      <w:r w:rsidR="002936C2">
        <w:rPr>
          <w:rFonts w:cs="Arial"/>
        </w:rPr>
        <w:t>CBD</w:t>
      </w:r>
      <w:r w:rsidR="007A54C0">
        <w:rPr>
          <w:rFonts w:cs="Arial"/>
        </w:rPr>
        <w:t>”</w:t>
      </w:r>
      <w:r w:rsidR="00984EB4">
        <w:rPr>
          <w:rFonts w:cs="Arial"/>
        </w:rPr>
        <w:t>)</w:t>
      </w:r>
      <w:r w:rsidR="002936C2">
        <w:rPr>
          <w:rFonts w:cs="Arial"/>
        </w:rPr>
        <w:t xml:space="preserve"> products. </w:t>
      </w:r>
      <w:r w:rsidR="002936C2" w:rsidRPr="00AF27CF">
        <w:rPr>
          <w:rFonts w:cs="Arial"/>
        </w:rPr>
        <w:t>See</w:t>
      </w:r>
      <w:r w:rsidR="002936C2">
        <w:rPr>
          <w:rFonts w:cs="Arial"/>
        </w:rPr>
        <w:t xml:space="preserve"> Publication 52 section </w:t>
      </w:r>
      <w:r w:rsidR="00361081">
        <w:rPr>
          <w:rFonts w:cs="Arial"/>
        </w:rPr>
        <w:t>453.</w:t>
      </w:r>
      <w:r w:rsidR="004F6D60">
        <w:rPr>
          <w:rFonts w:cs="Arial"/>
        </w:rPr>
        <w:t>37</w:t>
      </w:r>
      <w:r w:rsidR="00605667">
        <w:rPr>
          <w:rFonts w:cs="Arial"/>
        </w:rPr>
        <w:t>.</w:t>
      </w:r>
      <w:r w:rsidR="002A725A">
        <w:rPr>
          <w:rFonts w:cs="Arial"/>
        </w:rPr>
        <w:t>b</w:t>
      </w:r>
      <w:r w:rsidR="004F6D60">
        <w:rPr>
          <w:rFonts w:cs="Arial"/>
        </w:rPr>
        <w:t>.</w:t>
      </w:r>
      <w:r w:rsidR="00E969CD">
        <w:rPr>
          <w:rFonts w:cs="Arial"/>
        </w:rPr>
        <w:t xml:space="preserve"> The commenter </w:t>
      </w:r>
      <w:r w:rsidR="00B02A41">
        <w:rPr>
          <w:rFonts w:cs="Arial"/>
        </w:rPr>
        <w:t>considered the analogy to be</w:t>
      </w:r>
      <w:r w:rsidR="000D4CFF">
        <w:rPr>
          <w:rFonts w:cs="Arial"/>
        </w:rPr>
        <w:t xml:space="preserve"> apt because </w:t>
      </w:r>
      <w:r w:rsidR="007D325D">
        <w:rPr>
          <w:rFonts w:cs="Arial"/>
        </w:rPr>
        <w:t xml:space="preserve">of the difficulty </w:t>
      </w:r>
      <w:r w:rsidR="000E64D2">
        <w:rPr>
          <w:rFonts w:cs="Arial"/>
        </w:rPr>
        <w:t xml:space="preserve">in distinguishing CBD products </w:t>
      </w:r>
      <w:r w:rsidR="001C12DD">
        <w:rPr>
          <w:rFonts w:cs="Arial"/>
        </w:rPr>
        <w:t xml:space="preserve">that do and do not qualify for the </w:t>
      </w:r>
      <w:r w:rsidR="00E13A44">
        <w:rPr>
          <w:rFonts w:cs="Arial"/>
        </w:rPr>
        <w:t xml:space="preserve">CSA exception, similar to the likely difficulty in distinguishing </w:t>
      </w:r>
      <w:r w:rsidR="00764AA8">
        <w:rPr>
          <w:rFonts w:cs="Arial"/>
        </w:rPr>
        <w:t>ENDS products that do and do not qualify for the POSECCA exclusion</w:t>
      </w:r>
      <w:r w:rsidR="00E13A44">
        <w:rPr>
          <w:rFonts w:cs="Arial"/>
        </w:rPr>
        <w:t>.</w:t>
      </w:r>
      <w:r w:rsidR="007A087F">
        <w:rPr>
          <w:rFonts w:cs="Arial"/>
        </w:rPr>
        <w:t xml:space="preserve"> The commenter opined that this </w:t>
      </w:r>
      <w:r w:rsidR="00CE6020">
        <w:rPr>
          <w:rFonts w:cs="Arial"/>
        </w:rPr>
        <w:t xml:space="preserve">approach </w:t>
      </w:r>
      <w:r w:rsidR="00CE6020">
        <w:rPr>
          <w:rFonts w:cs="Arial"/>
        </w:rPr>
        <w:lastRenderedPageBreak/>
        <w:t xml:space="preserve">would </w:t>
      </w:r>
      <w:r w:rsidR="00FC509D">
        <w:rPr>
          <w:rFonts w:cs="Arial"/>
        </w:rPr>
        <w:t>provide</w:t>
      </w:r>
      <w:r w:rsidR="00772159">
        <w:rPr>
          <w:rFonts w:cs="Arial"/>
        </w:rPr>
        <w:t xml:space="preserve"> a credible means of verifying eligibility, while minimizing burden</w:t>
      </w:r>
      <w:r w:rsidR="004156AB">
        <w:rPr>
          <w:rFonts w:cs="Arial"/>
        </w:rPr>
        <w:t>s</w:t>
      </w:r>
      <w:r w:rsidR="00772159">
        <w:rPr>
          <w:rFonts w:cs="Arial"/>
        </w:rPr>
        <w:t xml:space="preserve"> on the Postal Service</w:t>
      </w:r>
      <w:r w:rsidR="004156AB">
        <w:rPr>
          <w:rFonts w:cs="Arial"/>
        </w:rPr>
        <w:t>’s</w:t>
      </w:r>
      <w:r w:rsidR="00772159">
        <w:rPr>
          <w:rFonts w:cs="Arial"/>
        </w:rPr>
        <w:t xml:space="preserve"> </w:t>
      </w:r>
      <w:r w:rsidR="00561881">
        <w:rPr>
          <w:rFonts w:cs="Arial"/>
        </w:rPr>
        <w:t>operational and enforcement personnel.</w:t>
      </w:r>
    </w:p>
    <w:p w14:paraId="29128082" w14:textId="48E82009" w:rsidR="000F5A10" w:rsidRPr="00832FD3" w:rsidRDefault="000F5A10" w:rsidP="00FD29E0">
      <w:pPr>
        <w:shd w:val="clear" w:color="auto" w:fill="FFFFFF"/>
        <w:ind w:firstLine="720"/>
        <w:rPr>
          <w:rFonts w:cs="Arial"/>
        </w:rPr>
      </w:pPr>
      <w:r>
        <w:rPr>
          <w:rFonts w:cs="Arial"/>
        </w:rPr>
        <w:t xml:space="preserve">Finally, </w:t>
      </w:r>
      <w:r w:rsidR="00315C22">
        <w:rPr>
          <w:rFonts w:cs="Arial"/>
        </w:rPr>
        <w:t>a large number of individual ENDS consumers commented about the perceived tobacco-cessation benefits of ENDS products,</w:t>
      </w:r>
      <w:r w:rsidR="00477643">
        <w:rPr>
          <w:rFonts w:cs="Arial"/>
        </w:rPr>
        <w:t xml:space="preserve"> both in their own experience and in relation to </w:t>
      </w:r>
      <w:r w:rsidR="00BB3A85">
        <w:rPr>
          <w:rFonts w:cs="Arial"/>
        </w:rPr>
        <w:t>U.K. stud</w:t>
      </w:r>
      <w:r w:rsidR="0009443A">
        <w:rPr>
          <w:rFonts w:cs="Arial"/>
        </w:rPr>
        <w:t>ies</w:t>
      </w:r>
      <w:r w:rsidR="00BB3A85">
        <w:rPr>
          <w:rFonts w:cs="Arial"/>
        </w:rPr>
        <w:t xml:space="preserve"> and purported </w:t>
      </w:r>
      <w:r w:rsidR="00506937">
        <w:rPr>
          <w:rFonts w:cs="Arial"/>
        </w:rPr>
        <w:t xml:space="preserve">official </w:t>
      </w:r>
      <w:r w:rsidR="00BB3A85">
        <w:rPr>
          <w:rFonts w:cs="Arial"/>
        </w:rPr>
        <w:t xml:space="preserve">European </w:t>
      </w:r>
      <w:r w:rsidR="00506937">
        <w:rPr>
          <w:rFonts w:cs="Arial"/>
        </w:rPr>
        <w:t>health recommendations.</w:t>
      </w:r>
      <w:r w:rsidR="00B362FE">
        <w:rPr>
          <w:rStyle w:val="FootnoteReference"/>
          <w:rFonts w:cs="Arial"/>
        </w:rPr>
        <w:footnoteReference w:id="13"/>
      </w:r>
      <w:r w:rsidR="00506937">
        <w:rPr>
          <w:rFonts w:cs="Arial"/>
        </w:rPr>
        <w:t xml:space="preserve"> </w:t>
      </w:r>
      <w:r w:rsidR="00144722">
        <w:rPr>
          <w:rFonts w:cs="Arial"/>
        </w:rPr>
        <w:t xml:space="preserve">Other individual ENDS consumers wrote of the perceived </w:t>
      </w:r>
      <w:r w:rsidR="00D8117A">
        <w:rPr>
          <w:rFonts w:cs="Arial"/>
        </w:rPr>
        <w:t xml:space="preserve">therapeutic </w:t>
      </w:r>
      <w:r w:rsidR="00144722">
        <w:rPr>
          <w:rFonts w:cs="Arial"/>
        </w:rPr>
        <w:t>benefits of cannabis or, in rare instances, aromatherapy</w:t>
      </w:r>
      <w:r w:rsidR="00D8117A">
        <w:rPr>
          <w:rFonts w:cs="Arial"/>
        </w:rPr>
        <w:t xml:space="preserve"> delivered using ENDS products</w:t>
      </w:r>
      <w:r w:rsidR="00144722">
        <w:rPr>
          <w:rFonts w:cs="Arial"/>
        </w:rPr>
        <w:t>.</w:t>
      </w:r>
    </w:p>
    <w:p w14:paraId="453818F1" w14:textId="24A709D2" w:rsidR="00045C3B" w:rsidRDefault="00B73F6B" w:rsidP="00FD29E0">
      <w:pPr>
        <w:shd w:val="clear" w:color="auto" w:fill="FFFFFF"/>
        <w:ind w:firstLine="720"/>
        <w:rPr>
          <w:rFonts w:cs="Arial"/>
        </w:rPr>
      </w:pPr>
      <w:r>
        <w:rPr>
          <w:rFonts w:cs="Arial"/>
        </w:rPr>
        <w:t>The first set of commenters is correct</w:t>
      </w:r>
      <w:r w:rsidR="00840E06">
        <w:rPr>
          <w:rFonts w:cs="Arial"/>
        </w:rPr>
        <w:t xml:space="preserve">: the FDA has not approved any ENDS </w:t>
      </w:r>
      <w:r w:rsidR="00C71A43">
        <w:rPr>
          <w:rFonts w:cs="Arial"/>
        </w:rPr>
        <w:t xml:space="preserve">product </w:t>
      </w:r>
      <w:r w:rsidR="00840E06">
        <w:rPr>
          <w:rFonts w:cs="Arial"/>
        </w:rPr>
        <w:t xml:space="preserve">for </w:t>
      </w:r>
      <w:r w:rsidR="00144722">
        <w:rPr>
          <w:rFonts w:cs="Arial"/>
        </w:rPr>
        <w:t xml:space="preserve">smoking-cessation or other therapeutic </w:t>
      </w:r>
      <w:r w:rsidR="00840E06">
        <w:rPr>
          <w:rFonts w:cs="Arial"/>
        </w:rPr>
        <w:t>use.</w:t>
      </w:r>
      <w:r w:rsidR="00756BF1">
        <w:rPr>
          <w:rStyle w:val="FootnoteReference"/>
          <w:rFonts w:cs="Arial"/>
        </w:rPr>
        <w:footnoteReference w:id="14"/>
      </w:r>
      <w:r w:rsidR="00756BF1">
        <w:rPr>
          <w:rFonts w:cs="Arial"/>
        </w:rPr>
        <w:t xml:space="preserve"> </w:t>
      </w:r>
      <w:r w:rsidR="0033662C" w:rsidRPr="00E53A51">
        <w:rPr>
          <w:rFonts w:cs="Arial"/>
        </w:rPr>
        <w:t>Unless</w:t>
      </w:r>
      <w:r w:rsidR="0033662C">
        <w:rPr>
          <w:rFonts w:cs="Arial"/>
        </w:rPr>
        <w:t xml:space="preserve"> and until </w:t>
      </w:r>
      <w:r w:rsidR="00C72939">
        <w:rPr>
          <w:rFonts w:cs="Arial"/>
        </w:rPr>
        <w:t xml:space="preserve">the FDA approves </w:t>
      </w:r>
      <w:r w:rsidR="00883F1B">
        <w:rPr>
          <w:rFonts w:cs="Arial"/>
        </w:rPr>
        <w:t xml:space="preserve">any ENDS product for smoking-cessation or </w:t>
      </w:r>
      <w:r w:rsidR="00C71A43">
        <w:rPr>
          <w:rFonts w:cs="Arial"/>
        </w:rPr>
        <w:t xml:space="preserve">another </w:t>
      </w:r>
      <w:r w:rsidR="00883F1B">
        <w:rPr>
          <w:rFonts w:cs="Arial"/>
        </w:rPr>
        <w:t>therapeutic use</w:t>
      </w:r>
      <w:r w:rsidR="0033662C">
        <w:rPr>
          <w:rFonts w:cs="Arial"/>
        </w:rPr>
        <w:t>, then</w:t>
      </w:r>
      <w:r w:rsidR="000258C7">
        <w:rPr>
          <w:rFonts w:cs="Arial"/>
        </w:rPr>
        <w:t>,</w:t>
      </w:r>
      <w:r w:rsidR="0033662C">
        <w:rPr>
          <w:rFonts w:cs="Arial"/>
        </w:rPr>
        <w:t xml:space="preserve"> the statutory exclusion</w:t>
      </w:r>
      <w:r w:rsidR="000258C7">
        <w:rPr>
          <w:rFonts w:cs="Arial"/>
        </w:rPr>
        <w:t xml:space="preserve"> lies dormant and has no real-world import</w:t>
      </w:r>
      <w:r w:rsidR="0033662C">
        <w:rPr>
          <w:rFonts w:cs="Arial"/>
        </w:rPr>
        <w:t>.</w:t>
      </w:r>
    </w:p>
    <w:p w14:paraId="5DDD9AF3" w14:textId="7876A3D2" w:rsidR="00005AE4" w:rsidRDefault="000D3757" w:rsidP="00FD29E0">
      <w:pPr>
        <w:shd w:val="clear" w:color="auto" w:fill="FFFFFF"/>
        <w:ind w:firstLine="720"/>
        <w:rPr>
          <w:rFonts w:cs="Arial"/>
        </w:rPr>
      </w:pPr>
      <w:r>
        <w:rPr>
          <w:rFonts w:cs="Arial"/>
        </w:rPr>
        <w:lastRenderedPageBreak/>
        <w:t>While</w:t>
      </w:r>
      <w:r w:rsidR="00623F20">
        <w:rPr>
          <w:rFonts w:cs="Arial"/>
        </w:rPr>
        <w:t xml:space="preserve"> the distinction between </w:t>
      </w:r>
      <w:r w:rsidR="00D85FA6">
        <w:rPr>
          <w:rFonts w:cs="Arial"/>
        </w:rPr>
        <w:t xml:space="preserve">excluded </w:t>
      </w:r>
      <w:r w:rsidR="00623F20">
        <w:rPr>
          <w:rFonts w:cs="Arial"/>
        </w:rPr>
        <w:t xml:space="preserve">and nonmailable ENDS products </w:t>
      </w:r>
      <w:r>
        <w:rPr>
          <w:rFonts w:cs="Arial"/>
        </w:rPr>
        <w:t xml:space="preserve">may be </w:t>
      </w:r>
      <w:r w:rsidR="00623F20">
        <w:rPr>
          <w:rFonts w:cs="Arial"/>
        </w:rPr>
        <w:t xml:space="preserve">difficult to get right in practice, it is essential to get it right, given the PACT Act’s </w:t>
      </w:r>
      <w:r w:rsidR="00EF77B1">
        <w:rPr>
          <w:rFonts w:cs="Arial"/>
        </w:rPr>
        <w:t>directive</w:t>
      </w:r>
      <w:r w:rsidR="00623F20">
        <w:rPr>
          <w:rFonts w:cs="Arial"/>
        </w:rPr>
        <w:t xml:space="preserve"> that the Postal Service not “accept for delivery or transmit through the mails” any </w:t>
      </w:r>
      <w:r w:rsidR="00214D42">
        <w:rPr>
          <w:rFonts w:cs="Arial"/>
        </w:rPr>
        <w:t xml:space="preserve">package as to </w:t>
      </w:r>
      <w:r w:rsidR="00623F20">
        <w:rPr>
          <w:rFonts w:cs="Arial"/>
        </w:rPr>
        <w:t xml:space="preserve">which “reasonable cause” exists to believe </w:t>
      </w:r>
      <w:r w:rsidR="00214D42">
        <w:rPr>
          <w:rFonts w:cs="Arial"/>
        </w:rPr>
        <w:t xml:space="preserve">that it contains </w:t>
      </w:r>
      <w:r w:rsidR="00623F20">
        <w:rPr>
          <w:rFonts w:cs="Arial"/>
        </w:rPr>
        <w:t>nonmailable ENDS products.</w:t>
      </w:r>
      <w:r w:rsidR="00214D42">
        <w:rPr>
          <w:rFonts w:cs="Arial"/>
        </w:rPr>
        <w:t xml:space="preserve"> </w:t>
      </w:r>
      <w:r w:rsidR="00214D42" w:rsidRPr="00AF27CF">
        <w:rPr>
          <w:rFonts w:cs="Arial"/>
        </w:rPr>
        <w:t>See</w:t>
      </w:r>
      <w:r w:rsidR="00214D42">
        <w:rPr>
          <w:rFonts w:cs="Arial"/>
        </w:rPr>
        <w:t xml:space="preserve"> 18 U.S.C. 1716E(a)(1). </w:t>
      </w:r>
      <w:r w:rsidR="0055507C">
        <w:rPr>
          <w:rFonts w:cs="Arial"/>
        </w:rPr>
        <w:t>Whatever merit</w:t>
      </w:r>
      <w:r w:rsidR="00C90DD8">
        <w:rPr>
          <w:rFonts w:cs="Arial"/>
        </w:rPr>
        <w:t xml:space="preserve"> the ideas raised by </w:t>
      </w:r>
      <w:r w:rsidR="00913796">
        <w:rPr>
          <w:rFonts w:cs="Arial"/>
        </w:rPr>
        <w:t>commenters</w:t>
      </w:r>
      <w:r w:rsidR="00C90DD8">
        <w:rPr>
          <w:rFonts w:cs="Arial"/>
        </w:rPr>
        <w:t xml:space="preserve"> on this topic</w:t>
      </w:r>
      <w:r w:rsidR="00791994">
        <w:rPr>
          <w:rFonts w:cs="Arial"/>
        </w:rPr>
        <w:t xml:space="preserve"> may </w:t>
      </w:r>
      <w:r w:rsidR="0055507C">
        <w:rPr>
          <w:rFonts w:cs="Arial"/>
        </w:rPr>
        <w:t>have</w:t>
      </w:r>
      <w:r w:rsidR="00913796">
        <w:rPr>
          <w:rFonts w:cs="Arial"/>
        </w:rPr>
        <w:t xml:space="preserve">, the Postal Service </w:t>
      </w:r>
      <w:r w:rsidR="004E59D1">
        <w:rPr>
          <w:rFonts w:cs="Arial"/>
        </w:rPr>
        <w:t>finds it inadvisable to attempt</w:t>
      </w:r>
      <w:r w:rsidR="00E17542">
        <w:rPr>
          <w:rFonts w:cs="Arial"/>
        </w:rPr>
        <w:t xml:space="preserve"> (in consultation with ATF)</w:t>
      </w:r>
      <w:r w:rsidR="004E59D1">
        <w:rPr>
          <w:rFonts w:cs="Arial"/>
        </w:rPr>
        <w:t xml:space="preserve"> to set forth appropriate </w:t>
      </w:r>
      <w:r w:rsidR="00E17542">
        <w:rPr>
          <w:rFonts w:cs="Arial"/>
        </w:rPr>
        <w:t xml:space="preserve">standards </w:t>
      </w:r>
      <w:r w:rsidR="004E59D1">
        <w:rPr>
          <w:rFonts w:cs="Arial"/>
        </w:rPr>
        <w:t>in the abstract</w:t>
      </w:r>
      <w:r w:rsidR="003C6D71">
        <w:rPr>
          <w:rFonts w:cs="Arial"/>
        </w:rPr>
        <w:t>. Rather</w:t>
      </w:r>
      <w:r w:rsidR="004E59D1">
        <w:rPr>
          <w:rFonts w:cs="Arial"/>
        </w:rPr>
        <w:t xml:space="preserve">, </w:t>
      </w:r>
      <w:proofErr w:type="gramStart"/>
      <w:r w:rsidR="00FB5039">
        <w:rPr>
          <w:rFonts w:cs="Arial"/>
        </w:rPr>
        <w:t>if and when</w:t>
      </w:r>
      <w:proofErr w:type="gramEnd"/>
      <w:r w:rsidR="00FB5039">
        <w:rPr>
          <w:rFonts w:cs="Arial"/>
        </w:rPr>
        <w:t xml:space="preserve"> any product is approved by the FDA, </w:t>
      </w:r>
      <w:r w:rsidR="00262338">
        <w:rPr>
          <w:rFonts w:cs="Arial"/>
        </w:rPr>
        <w:t xml:space="preserve">concrete </w:t>
      </w:r>
      <w:r w:rsidR="004E59D1">
        <w:rPr>
          <w:rFonts w:cs="Arial"/>
        </w:rPr>
        <w:t xml:space="preserve">circumstances </w:t>
      </w:r>
      <w:r w:rsidR="003C6D71">
        <w:rPr>
          <w:rFonts w:cs="Arial"/>
        </w:rPr>
        <w:t xml:space="preserve">will </w:t>
      </w:r>
      <w:r w:rsidR="00262338">
        <w:rPr>
          <w:rFonts w:cs="Arial"/>
        </w:rPr>
        <w:t>guide the development of a practical approach.</w:t>
      </w:r>
    </w:p>
    <w:p w14:paraId="49FE52BF" w14:textId="63A87EEE" w:rsidR="00E53A51" w:rsidRDefault="00262338" w:rsidP="00FD29E0">
      <w:pPr>
        <w:shd w:val="clear" w:color="auto" w:fill="FFFFFF"/>
        <w:ind w:firstLine="720"/>
        <w:rPr>
          <w:rFonts w:cs="Arial"/>
        </w:rPr>
      </w:pPr>
      <w:r>
        <w:rPr>
          <w:rFonts w:cs="Arial"/>
        </w:rPr>
        <w:t xml:space="preserve">Therefore, </w:t>
      </w:r>
      <w:r w:rsidR="00D1327D">
        <w:rPr>
          <w:rFonts w:cs="Arial"/>
        </w:rPr>
        <w:t>the final rule contains language clarifying that the exclusion does not apply</w:t>
      </w:r>
      <w:r w:rsidR="00993C50">
        <w:rPr>
          <w:rFonts w:cs="Arial"/>
        </w:rPr>
        <w:t xml:space="preserve"> at this </w:t>
      </w:r>
      <w:proofErr w:type="gramStart"/>
      <w:r w:rsidR="00993C50">
        <w:rPr>
          <w:rFonts w:cs="Arial"/>
        </w:rPr>
        <w:t>time, but</w:t>
      </w:r>
      <w:proofErr w:type="gramEnd"/>
      <w:r w:rsidR="00993C50">
        <w:rPr>
          <w:rFonts w:cs="Arial"/>
        </w:rPr>
        <w:t xml:space="preserve"> inviting any ENDS manufacturer of an FDA-approved product to notify </w:t>
      </w:r>
      <w:r w:rsidR="00A407A0">
        <w:rPr>
          <w:rFonts w:cs="Arial"/>
        </w:rPr>
        <w:t>ATF</w:t>
      </w:r>
      <w:r w:rsidR="00785DCA">
        <w:rPr>
          <w:rFonts w:cs="Arial"/>
        </w:rPr>
        <w:t xml:space="preserve"> and </w:t>
      </w:r>
      <w:r w:rsidR="00993C50">
        <w:rPr>
          <w:rFonts w:cs="Arial"/>
        </w:rPr>
        <w:t>the Postal Service</w:t>
      </w:r>
      <w:r w:rsidR="00FB5039">
        <w:rPr>
          <w:rFonts w:cs="Arial"/>
        </w:rPr>
        <w:t xml:space="preserve"> </w:t>
      </w:r>
      <w:r w:rsidR="00993C50">
        <w:rPr>
          <w:rFonts w:cs="Arial"/>
        </w:rPr>
        <w:t xml:space="preserve">in the event of such approval. At that time, </w:t>
      </w:r>
      <w:r w:rsidR="00A407A0">
        <w:rPr>
          <w:rFonts w:cs="Arial"/>
        </w:rPr>
        <w:t>ATF</w:t>
      </w:r>
      <w:r w:rsidR="008C5D05">
        <w:rPr>
          <w:rFonts w:cs="Arial"/>
        </w:rPr>
        <w:t xml:space="preserve"> and </w:t>
      </w:r>
      <w:r w:rsidR="00993C50">
        <w:rPr>
          <w:rFonts w:cs="Arial"/>
        </w:rPr>
        <w:t xml:space="preserve">the Postal Service may </w:t>
      </w:r>
      <w:r w:rsidR="00005AE4">
        <w:rPr>
          <w:rFonts w:cs="Arial"/>
        </w:rPr>
        <w:t>develop appropriate rules governing the exclusion</w:t>
      </w:r>
      <w:r w:rsidR="005C3617">
        <w:rPr>
          <w:rFonts w:cs="Arial"/>
        </w:rPr>
        <w:t>.</w:t>
      </w:r>
    </w:p>
    <w:p w14:paraId="174F19FE" w14:textId="566815F4" w:rsidR="00E81B2B" w:rsidRDefault="00A3443D" w:rsidP="00FD29E0">
      <w:pPr>
        <w:shd w:val="clear" w:color="auto" w:fill="FFFFFF"/>
        <w:ind w:firstLine="720"/>
        <w:rPr>
          <w:rFonts w:cs="Arial"/>
        </w:rPr>
      </w:pPr>
      <w:r>
        <w:rPr>
          <w:rFonts w:cs="Arial"/>
        </w:rPr>
        <w:t>The FDA likewise has not approved any ENDS product for</w:t>
      </w:r>
      <w:r w:rsidR="00E15CEB">
        <w:rPr>
          <w:rFonts w:cs="Arial"/>
        </w:rPr>
        <w:t xml:space="preserve"> </w:t>
      </w:r>
      <w:r>
        <w:rPr>
          <w:rFonts w:cs="Arial"/>
        </w:rPr>
        <w:t xml:space="preserve">therapeutic delivery of </w:t>
      </w:r>
      <w:r w:rsidR="003C2DF6">
        <w:rPr>
          <w:rFonts w:cs="Arial"/>
        </w:rPr>
        <w:t xml:space="preserve">any </w:t>
      </w:r>
      <w:r w:rsidR="00E15CEB">
        <w:rPr>
          <w:rFonts w:cs="Arial"/>
        </w:rPr>
        <w:t>non-nicotine</w:t>
      </w:r>
      <w:r w:rsidR="003C2DF6">
        <w:rPr>
          <w:rFonts w:cs="Arial"/>
        </w:rPr>
        <w:t xml:space="preserve"> substance, including, in particular, CBD or other substances derived from marijuana.</w:t>
      </w:r>
      <w:r w:rsidR="003C2DF6">
        <w:rPr>
          <w:rStyle w:val="FootnoteReference"/>
          <w:rFonts w:cs="Arial"/>
        </w:rPr>
        <w:footnoteReference w:id="15"/>
      </w:r>
      <w:r w:rsidR="00465BBF">
        <w:rPr>
          <w:rFonts w:cs="Arial"/>
        </w:rPr>
        <w:t xml:space="preserve"> </w:t>
      </w:r>
      <w:r w:rsidR="0094738B">
        <w:rPr>
          <w:rFonts w:cs="Arial"/>
        </w:rPr>
        <w:t>Once again, except for hemp-derived CB</w:t>
      </w:r>
      <w:r w:rsidR="00C04385">
        <w:rPr>
          <w:rFonts w:cs="Arial"/>
        </w:rPr>
        <w:t>D</w:t>
      </w:r>
      <w:r w:rsidR="0094738B">
        <w:rPr>
          <w:rFonts w:cs="Arial"/>
        </w:rPr>
        <w:t xml:space="preserve"> containing no more than 0.3 percent THC by dry weight, </w:t>
      </w:r>
      <w:r w:rsidR="00C821CD">
        <w:rPr>
          <w:rFonts w:cs="Arial"/>
        </w:rPr>
        <w:t xml:space="preserve">cannabis </w:t>
      </w:r>
      <w:r w:rsidR="0067276B">
        <w:rPr>
          <w:rFonts w:cs="Arial"/>
        </w:rPr>
        <w:t xml:space="preserve">and </w:t>
      </w:r>
      <w:r w:rsidR="00C821CD">
        <w:rPr>
          <w:rFonts w:cs="Arial"/>
        </w:rPr>
        <w:t xml:space="preserve">cannabis </w:t>
      </w:r>
      <w:r w:rsidR="0067276B">
        <w:rPr>
          <w:rFonts w:cs="Arial"/>
        </w:rPr>
        <w:t xml:space="preserve">derivatives remain nonmailable under the Controlled Substances Act </w:t>
      </w:r>
      <w:r w:rsidR="00003730">
        <w:rPr>
          <w:rFonts w:cs="Arial"/>
        </w:rPr>
        <w:t xml:space="preserve">regardless </w:t>
      </w:r>
      <w:r w:rsidR="00003730">
        <w:rPr>
          <w:rFonts w:cs="Arial"/>
        </w:rPr>
        <w:lastRenderedPageBreak/>
        <w:t xml:space="preserve">of </w:t>
      </w:r>
      <w:r w:rsidR="0067276B">
        <w:rPr>
          <w:rFonts w:cs="Arial"/>
        </w:rPr>
        <w:t>the POSECCA</w:t>
      </w:r>
      <w:r w:rsidR="00003730">
        <w:rPr>
          <w:rFonts w:cs="Arial"/>
        </w:rPr>
        <w:t xml:space="preserve"> and notwithstanding any State or local laws </w:t>
      </w:r>
      <w:r w:rsidR="00B73786">
        <w:rPr>
          <w:rFonts w:cs="Arial"/>
        </w:rPr>
        <w:t>on “medical” marijuana</w:t>
      </w:r>
      <w:r w:rsidR="0067276B">
        <w:rPr>
          <w:rFonts w:cs="Arial"/>
        </w:rPr>
        <w:t>.</w:t>
      </w:r>
      <w:r w:rsidR="00314063">
        <w:rPr>
          <w:rFonts w:cs="Arial"/>
        </w:rPr>
        <w:t xml:space="preserve"> </w:t>
      </w:r>
      <w:r w:rsidR="00314063" w:rsidRPr="00AF27CF">
        <w:rPr>
          <w:rFonts w:cs="Arial"/>
        </w:rPr>
        <w:t>See</w:t>
      </w:r>
      <w:r w:rsidR="00314063">
        <w:rPr>
          <w:rFonts w:cs="Arial"/>
        </w:rPr>
        <w:t xml:space="preserve"> </w:t>
      </w:r>
      <w:r w:rsidR="00775AB3">
        <w:rPr>
          <w:rFonts w:cs="Arial"/>
          <w:i/>
          <w:iCs/>
        </w:rPr>
        <w:t>supra</w:t>
      </w:r>
      <w:r w:rsidR="00775AB3">
        <w:rPr>
          <w:rFonts w:cs="Arial"/>
        </w:rPr>
        <w:t xml:space="preserve"> </w:t>
      </w:r>
      <w:r w:rsidR="00C821CD" w:rsidRPr="00884DA7">
        <w:rPr>
          <w:rFonts w:cs="Arial"/>
        </w:rPr>
        <w:t xml:space="preserve">section </w:t>
      </w:r>
      <w:r w:rsidR="00C821CD" w:rsidRPr="0022072C">
        <w:rPr>
          <w:rFonts w:cs="Arial"/>
        </w:rPr>
        <w:t>III.C.2</w:t>
      </w:r>
      <w:r w:rsidR="00C821CD" w:rsidRPr="00884DA7">
        <w:rPr>
          <w:rFonts w:cs="Arial"/>
        </w:rPr>
        <w:t xml:space="preserve">; </w:t>
      </w:r>
      <w:r w:rsidR="00B615E4" w:rsidRPr="00884DA7">
        <w:rPr>
          <w:rFonts w:cs="Arial"/>
        </w:rPr>
        <w:t>84</w:t>
      </w:r>
      <w:r w:rsidR="00B615E4">
        <w:rPr>
          <w:rFonts w:cs="Arial"/>
        </w:rPr>
        <w:t xml:space="preserve"> </w:t>
      </w:r>
      <w:r w:rsidR="007A54C0">
        <w:rPr>
          <w:rFonts w:cs="Arial"/>
        </w:rPr>
        <w:t>FR</w:t>
      </w:r>
      <w:r w:rsidR="00B615E4">
        <w:rPr>
          <w:rFonts w:cs="Arial"/>
        </w:rPr>
        <w:t xml:space="preserve"> </w:t>
      </w:r>
      <w:r w:rsidR="00AA3E85">
        <w:rPr>
          <w:rFonts w:cs="Arial"/>
        </w:rPr>
        <w:t xml:space="preserve">at </w:t>
      </w:r>
      <w:r w:rsidR="000F5C7D">
        <w:rPr>
          <w:rFonts w:cs="Arial"/>
        </w:rPr>
        <w:t>12970</w:t>
      </w:r>
      <w:r w:rsidR="00B615E4">
        <w:rPr>
          <w:rFonts w:cs="Arial"/>
        </w:rPr>
        <w:t>.</w:t>
      </w:r>
      <w:r w:rsidR="00ED6EC7">
        <w:rPr>
          <w:rFonts w:cs="Arial"/>
        </w:rPr>
        <w:t xml:space="preserve"> </w:t>
      </w:r>
      <w:r w:rsidR="00B73786">
        <w:rPr>
          <w:rFonts w:cs="Arial"/>
        </w:rPr>
        <w:t xml:space="preserve">Far from </w:t>
      </w:r>
      <w:r w:rsidR="00156131">
        <w:rPr>
          <w:rFonts w:cs="Arial"/>
        </w:rPr>
        <w:t>taking marketing claims of therapeutic benefit at face value</w:t>
      </w:r>
      <w:r w:rsidR="00B73786">
        <w:rPr>
          <w:rFonts w:cs="Arial"/>
        </w:rPr>
        <w:t xml:space="preserve">, the FDA has </w:t>
      </w:r>
      <w:r w:rsidR="00F31F66">
        <w:rPr>
          <w:rFonts w:cs="Arial"/>
        </w:rPr>
        <w:t>under</w:t>
      </w:r>
      <w:r w:rsidR="00B73786">
        <w:rPr>
          <w:rFonts w:cs="Arial"/>
        </w:rPr>
        <w:t>taken</w:t>
      </w:r>
      <w:r w:rsidR="00F31F66">
        <w:rPr>
          <w:rFonts w:cs="Arial"/>
        </w:rPr>
        <w:t xml:space="preserve"> enforcement</w:t>
      </w:r>
      <w:r w:rsidR="00B73786">
        <w:rPr>
          <w:rFonts w:cs="Arial"/>
        </w:rPr>
        <w:t xml:space="preserve"> action against companies </w:t>
      </w:r>
      <w:r w:rsidR="0078008F">
        <w:rPr>
          <w:rFonts w:cs="Arial"/>
        </w:rPr>
        <w:t xml:space="preserve">making </w:t>
      </w:r>
      <w:r w:rsidR="00156131">
        <w:rPr>
          <w:rFonts w:cs="Arial"/>
        </w:rPr>
        <w:t xml:space="preserve">such </w:t>
      </w:r>
      <w:r w:rsidR="0078008F">
        <w:rPr>
          <w:rFonts w:cs="Arial"/>
        </w:rPr>
        <w:t xml:space="preserve">claims about CBD and other cannabis-related products </w:t>
      </w:r>
      <w:r w:rsidR="00C6659A">
        <w:rPr>
          <w:rFonts w:cs="Arial"/>
        </w:rPr>
        <w:t xml:space="preserve">absent </w:t>
      </w:r>
      <w:r w:rsidR="006A60DF">
        <w:rPr>
          <w:rFonts w:cs="Arial"/>
        </w:rPr>
        <w:t xml:space="preserve">new drug approvals from the FDA. </w:t>
      </w:r>
      <w:r w:rsidR="006A60DF" w:rsidRPr="00AF27CF">
        <w:rPr>
          <w:rFonts w:cs="Arial"/>
        </w:rPr>
        <w:t xml:space="preserve">See </w:t>
      </w:r>
      <w:r w:rsidR="006A60DF">
        <w:rPr>
          <w:rFonts w:cs="Arial"/>
        </w:rPr>
        <w:t xml:space="preserve">84 </w:t>
      </w:r>
      <w:r w:rsidR="007A54C0">
        <w:rPr>
          <w:rFonts w:cs="Arial"/>
        </w:rPr>
        <w:t>FR</w:t>
      </w:r>
      <w:r w:rsidR="006A60DF">
        <w:rPr>
          <w:rFonts w:cs="Arial"/>
        </w:rPr>
        <w:t xml:space="preserve"> at 12970.</w:t>
      </w:r>
    </w:p>
    <w:p w14:paraId="358C6CBA" w14:textId="0A67E8BD" w:rsidR="00695917" w:rsidRDefault="00DE3A39" w:rsidP="00695917">
      <w:pPr>
        <w:shd w:val="clear" w:color="auto" w:fill="FFFFFF"/>
        <w:ind w:firstLine="720"/>
        <w:rPr>
          <w:rFonts w:cs="Arial"/>
        </w:rPr>
      </w:pPr>
      <w:r>
        <w:rPr>
          <w:rFonts w:cs="Arial"/>
        </w:rPr>
        <w:t>T</w:t>
      </w:r>
      <w:r w:rsidR="00FE1504">
        <w:rPr>
          <w:rFonts w:cs="Arial"/>
        </w:rPr>
        <w:t xml:space="preserve">he concern that </w:t>
      </w:r>
      <w:r w:rsidR="00320D4D">
        <w:rPr>
          <w:rFonts w:cs="Arial"/>
        </w:rPr>
        <w:t>the statutory</w:t>
      </w:r>
      <w:r w:rsidR="00FE1504">
        <w:rPr>
          <w:rFonts w:cs="Arial"/>
        </w:rPr>
        <w:t xml:space="preserve"> </w:t>
      </w:r>
      <w:r w:rsidR="00695917">
        <w:rPr>
          <w:rFonts w:cs="Arial"/>
        </w:rPr>
        <w:t xml:space="preserve">exclusion </w:t>
      </w:r>
      <w:r w:rsidR="00FE1504">
        <w:rPr>
          <w:rFonts w:cs="Arial"/>
        </w:rPr>
        <w:t xml:space="preserve">pertaining </w:t>
      </w:r>
      <w:r w:rsidR="00695917">
        <w:rPr>
          <w:rFonts w:cs="Arial"/>
        </w:rPr>
        <w:t xml:space="preserve">to </w:t>
      </w:r>
      <w:r w:rsidR="00320D4D">
        <w:rPr>
          <w:rFonts w:cs="Arial"/>
        </w:rPr>
        <w:t xml:space="preserve">FDA </w:t>
      </w:r>
      <w:r w:rsidR="00695917">
        <w:rPr>
          <w:rFonts w:cs="Arial"/>
        </w:rPr>
        <w:t>drug</w:t>
      </w:r>
      <w:r w:rsidR="00E811F5">
        <w:rPr>
          <w:rFonts w:cs="Arial"/>
        </w:rPr>
        <w:t xml:space="preserve"> or device</w:t>
      </w:r>
      <w:r w:rsidR="00695917">
        <w:rPr>
          <w:rFonts w:cs="Arial"/>
        </w:rPr>
        <w:t xml:space="preserve"> protocols would paradoxically exclude the ENDS industry</w:t>
      </w:r>
      <w:r w:rsidR="00FE1504">
        <w:rPr>
          <w:rFonts w:cs="Arial"/>
        </w:rPr>
        <w:t xml:space="preserve"> appears to be </w:t>
      </w:r>
      <w:proofErr w:type="gramStart"/>
      <w:r w:rsidR="00FE1504">
        <w:rPr>
          <w:rFonts w:cs="Arial"/>
        </w:rPr>
        <w:t>off-base</w:t>
      </w:r>
      <w:proofErr w:type="gramEnd"/>
      <w:r w:rsidR="00695917">
        <w:rPr>
          <w:rFonts w:cs="Arial"/>
        </w:rPr>
        <w:t xml:space="preserve">. </w:t>
      </w:r>
      <w:r w:rsidR="00FE1504">
        <w:rPr>
          <w:rFonts w:cs="Arial"/>
        </w:rPr>
        <w:t xml:space="preserve">The very court opinion quoted by the commenter </w:t>
      </w:r>
      <w:r w:rsidR="000A4164">
        <w:rPr>
          <w:rFonts w:cs="Arial"/>
        </w:rPr>
        <w:t xml:space="preserve">notes that the FDA’s regulatory authority extends to </w:t>
      </w:r>
      <w:r w:rsidR="00695917">
        <w:rPr>
          <w:rFonts w:cs="Arial"/>
        </w:rPr>
        <w:t>“therapeutically marketed tobacco products under the [</w:t>
      </w:r>
      <w:r w:rsidR="00141890">
        <w:rPr>
          <w:rFonts w:cs="Arial"/>
        </w:rPr>
        <w:t>FD&amp;C Act</w:t>
      </w:r>
      <w:r w:rsidR="00695917">
        <w:rPr>
          <w:rFonts w:cs="Arial"/>
        </w:rPr>
        <w:t xml:space="preserve">’s] drug/device provisions.” </w:t>
      </w:r>
      <w:proofErr w:type="spellStart"/>
      <w:r w:rsidR="00695917">
        <w:rPr>
          <w:rFonts w:cs="Arial"/>
          <w:i/>
          <w:iCs/>
        </w:rPr>
        <w:t>Sottera</w:t>
      </w:r>
      <w:proofErr w:type="spellEnd"/>
      <w:r w:rsidR="00695917">
        <w:rPr>
          <w:rFonts w:cs="Arial"/>
        </w:rPr>
        <w:t xml:space="preserve">, 627 F.3d </w:t>
      </w:r>
      <w:r w:rsidR="000A4164">
        <w:rPr>
          <w:rFonts w:cs="Arial"/>
        </w:rPr>
        <w:t xml:space="preserve">at </w:t>
      </w:r>
      <w:r w:rsidR="00695917">
        <w:rPr>
          <w:rFonts w:cs="Arial"/>
        </w:rPr>
        <w:t>898</w:t>
      </w:r>
      <w:r w:rsidR="000E668F">
        <w:rPr>
          <w:rFonts w:cs="Arial"/>
        </w:rPr>
        <w:t>–</w:t>
      </w:r>
      <w:r w:rsidR="00695917">
        <w:rPr>
          <w:rFonts w:cs="Arial"/>
        </w:rPr>
        <w:t>99.</w:t>
      </w:r>
      <w:r w:rsidR="008F4C77">
        <w:rPr>
          <w:rFonts w:cs="Arial"/>
        </w:rPr>
        <w:t xml:space="preserve"> Moreover, </w:t>
      </w:r>
      <w:r w:rsidR="00AA467E">
        <w:rPr>
          <w:rFonts w:cs="Arial"/>
        </w:rPr>
        <w:t xml:space="preserve">with respect to ENDS comprising, containing, or used with CBD, </w:t>
      </w:r>
      <w:r w:rsidR="008F4C77">
        <w:rPr>
          <w:rFonts w:cs="Arial"/>
        </w:rPr>
        <w:t>the FDA</w:t>
      </w:r>
      <w:r w:rsidR="00AA467E">
        <w:rPr>
          <w:rFonts w:cs="Arial"/>
        </w:rPr>
        <w:t>’s</w:t>
      </w:r>
      <w:r w:rsidR="008F4C77">
        <w:rPr>
          <w:rFonts w:cs="Arial"/>
        </w:rPr>
        <w:t xml:space="preserve"> authority to approve drugs and medical devices extends to </w:t>
      </w:r>
      <w:r w:rsidR="007C5FFC">
        <w:rPr>
          <w:rFonts w:cs="Arial"/>
        </w:rPr>
        <w:t xml:space="preserve">cannabis and cannabis-derived products that could form part of an ENDS. </w:t>
      </w:r>
      <w:r w:rsidR="007C5FFC" w:rsidRPr="00AF27CF">
        <w:rPr>
          <w:rFonts w:cs="Arial"/>
        </w:rPr>
        <w:t xml:space="preserve">See </w:t>
      </w:r>
      <w:r w:rsidR="007C5FFC">
        <w:rPr>
          <w:rFonts w:cs="Arial"/>
        </w:rPr>
        <w:t xml:space="preserve">84 </w:t>
      </w:r>
      <w:r w:rsidR="007A54C0">
        <w:rPr>
          <w:rFonts w:cs="Arial"/>
        </w:rPr>
        <w:t>FR</w:t>
      </w:r>
      <w:r w:rsidR="007C5FFC">
        <w:rPr>
          <w:rFonts w:cs="Arial"/>
        </w:rPr>
        <w:t xml:space="preserve"> at </w:t>
      </w:r>
      <w:r w:rsidR="00AA467E">
        <w:rPr>
          <w:rFonts w:cs="Arial"/>
        </w:rPr>
        <w:t>12972</w:t>
      </w:r>
      <w:r w:rsidR="000E668F">
        <w:rPr>
          <w:rFonts w:cs="Arial"/>
        </w:rPr>
        <w:t>–</w:t>
      </w:r>
      <w:r w:rsidR="00AA467E">
        <w:rPr>
          <w:rFonts w:cs="Arial"/>
        </w:rPr>
        <w:t>12974</w:t>
      </w:r>
      <w:r w:rsidR="007C5FFC">
        <w:rPr>
          <w:rFonts w:cs="Arial"/>
        </w:rPr>
        <w:t>.</w:t>
      </w:r>
    </w:p>
    <w:p w14:paraId="3F44C9DF" w14:textId="0C9BB2C9" w:rsidR="000E668F" w:rsidRPr="001946E3" w:rsidRDefault="00DE3A39" w:rsidP="00695917">
      <w:pPr>
        <w:shd w:val="clear" w:color="auto" w:fill="FFFFFF"/>
        <w:ind w:firstLine="720"/>
        <w:rPr>
          <w:rFonts w:cs="Arial"/>
        </w:rPr>
      </w:pPr>
      <w:r>
        <w:rPr>
          <w:rFonts w:cs="Arial"/>
        </w:rPr>
        <w:t xml:space="preserve">Finally, a Federal agency partner suggested that the Postal Service clarify the </w:t>
      </w:r>
      <w:r w:rsidR="00F063BE">
        <w:rPr>
          <w:rFonts w:cs="Arial"/>
        </w:rPr>
        <w:t>scope of “other therapeutic purposes</w:t>
      </w:r>
      <w:r w:rsidR="000B1EBC">
        <w:rPr>
          <w:rFonts w:cs="Arial"/>
        </w:rPr>
        <w:t xml:space="preserve">,” perhaps in line with </w:t>
      </w:r>
      <w:r w:rsidR="006339DF">
        <w:rPr>
          <w:rFonts w:cs="Arial"/>
        </w:rPr>
        <w:t xml:space="preserve">the </w:t>
      </w:r>
      <w:proofErr w:type="spellStart"/>
      <w:r w:rsidR="006339DF">
        <w:rPr>
          <w:rFonts w:cs="Arial"/>
          <w:i/>
          <w:iCs/>
        </w:rPr>
        <w:t>Sottera</w:t>
      </w:r>
      <w:proofErr w:type="spellEnd"/>
      <w:r w:rsidR="006339DF">
        <w:rPr>
          <w:rFonts w:cs="Arial"/>
        </w:rPr>
        <w:t xml:space="preserve"> court’s </w:t>
      </w:r>
      <w:r w:rsidR="00704193">
        <w:rPr>
          <w:rFonts w:cs="Arial"/>
        </w:rPr>
        <w:t xml:space="preserve">borrowing of </w:t>
      </w:r>
      <w:r w:rsidR="00635272">
        <w:rPr>
          <w:rFonts w:cs="Arial"/>
        </w:rPr>
        <w:t xml:space="preserve">“diagnosis, cure, mitigation, treatment, or prevention of disease” phraseology from the </w:t>
      </w:r>
      <w:r w:rsidR="00141890">
        <w:rPr>
          <w:rFonts w:cs="Arial"/>
        </w:rPr>
        <w:t>FD&amp;C Act</w:t>
      </w:r>
      <w:r w:rsidR="00635272">
        <w:rPr>
          <w:rFonts w:cs="Arial"/>
        </w:rPr>
        <w:t xml:space="preserve">’s </w:t>
      </w:r>
      <w:r w:rsidR="001946E3">
        <w:rPr>
          <w:rFonts w:cs="Arial"/>
        </w:rPr>
        <w:t xml:space="preserve">“drug” </w:t>
      </w:r>
      <w:r w:rsidR="0060784C">
        <w:rPr>
          <w:rFonts w:cs="Arial"/>
        </w:rPr>
        <w:t xml:space="preserve">and “device” </w:t>
      </w:r>
      <w:r w:rsidR="001946E3">
        <w:rPr>
          <w:rFonts w:cs="Arial"/>
        </w:rPr>
        <w:t>definition</w:t>
      </w:r>
      <w:r w:rsidR="0060784C">
        <w:rPr>
          <w:rFonts w:cs="Arial"/>
        </w:rPr>
        <w:t>s</w:t>
      </w:r>
      <w:r w:rsidR="001946E3">
        <w:rPr>
          <w:rFonts w:cs="Arial"/>
        </w:rPr>
        <w:t xml:space="preserve">. </w:t>
      </w:r>
      <w:proofErr w:type="spellStart"/>
      <w:r w:rsidR="001946E3">
        <w:rPr>
          <w:rFonts w:cs="Arial"/>
          <w:i/>
          <w:iCs/>
        </w:rPr>
        <w:t>Sottera</w:t>
      </w:r>
      <w:proofErr w:type="spellEnd"/>
      <w:r w:rsidR="001946E3">
        <w:rPr>
          <w:rFonts w:cs="Arial"/>
        </w:rPr>
        <w:t xml:space="preserve">, 627 F.3d at 894 (quoting 21 U.S.C. </w:t>
      </w:r>
      <w:r w:rsidR="00C73F89">
        <w:rPr>
          <w:rFonts w:cs="Arial"/>
        </w:rPr>
        <w:t>321(g)(1)(B))</w:t>
      </w:r>
      <w:r w:rsidR="0060784C">
        <w:rPr>
          <w:rFonts w:cs="Arial"/>
        </w:rPr>
        <w:t>; accord 21 U.S.C. 321(h)(1)(B)</w:t>
      </w:r>
      <w:r w:rsidR="00C73F89">
        <w:rPr>
          <w:rFonts w:cs="Arial"/>
        </w:rPr>
        <w:t>.</w:t>
      </w:r>
      <w:r w:rsidR="008E30E1">
        <w:rPr>
          <w:rFonts w:cs="Arial"/>
        </w:rPr>
        <w:t xml:space="preserve"> Such an interpretation </w:t>
      </w:r>
      <w:r w:rsidR="00585CFC">
        <w:rPr>
          <w:rFonts w:cs="Arial"/>
        </w:rPr>
        <w:t xml:space="preserve">may be </w:t>
      </w:r>
      <w:r w:rsidR="008E30E1">
        <w:rPr>
          <w:rFonts w:cs="Arial"/>
        </w:rPr>
        <w:t>reasonable, and even tautological, given that the</w:t>
      </w:r>
      <w:r w:rsidR="00947918">
        <w:rPr>
          <w:rFonts w:cs="Arial"/>
        </w:rPr>
        <w:t xml:space="preserve"> POSECCA</w:t>
      </w:r>
      <w:r w:rsidR="008E30E1">
        <w:rPr>
          <w:rFonts w:cs="Arial"/>
        </w:rPr>
        <w:t xml:space="preserve"> exclusion requires FDA approval of an ENDS product</w:t>
      </w:r>
      <w:r w:rsidR="00585CFC">
        <w:rPr>
          <w:rFonts w:cs="Arial"/>
        </w:rPr>
        <w:t xml:space="preserve">, which itself would require an FDA determination that the product meets the purposive criteria for a “drug” or “device.” However, </w:t>
      </w:r>
      <w:r w:rsidR="00013BAF">
        <w:rPr>
          <w:rFonts w:cs="Arial"/>
        </w:rPr>
        <w:t>it may also be that “therapeutic purposes” means something narrower in this context, given the</w:t>
      </w:r>
      <w:r w:rsidR="00127CB8">
        <w:rPr>
          <w:rFonts w:cs="Arial"/>
        </w:rPr>
        <w:t xml:space="preserve"> term’s</w:t>
      </w:r>
      <w:r w:rsidR="00013BAF">
        <w:rPr>
          <w:rFonts w:cs="Arial"/>
        </w:rPr>
        <w:t xml:space="preserve"> juxtaposition with </w:t>
      </w:r>
      <w:r w:rsidR="00127CB8">
        <w:rPr>
          <w:rFonts w:cs="Arial"/>
        </w:rPr>
        <w:lastRenderedPageBreak/>
        <w:t>“</w:t>
      </w:r>
      <w:r w:rsidR="00013BAF">
        <w:rPr>
          <w:rFonts w:cs="Arial"/>
        </w:rPr>
        <w:t>tobacco cessation.</w:t>
      </w:r>
      <w:r w:rsidR="00127CB8">
        <w:rPr>
          <w:rFonts w:cs="Arial"/>
        </w:rPr>
        <w:t>”</w:t>
      </w:r>
      <w:r w:rsidR="00013BAF">
        <w:rPr>
          <w:rFonts w:cs="Arial"/>
        </w:rPr>
        <w:t xml:space="preserve"> T</w:t>
      </w:r>
      <w:r w:rsidR="00B857D1">
        <w:rPr>
          <w:rFonts w:cs="Arial"/>
        </w:rPr>
        <w:t xml:space="preserve">he Postal Service declines to </w:t>
      </w:r>
      <w:r w:rsidR="00585CFC">
        <w:rPr>
          <w:rFonts w:cs="Arial"/>
        </w:rPr>
        <w:t xml:space="preserve">announce </w:t>
      </w:r>
      <w:r w:rsidR="00514758">
        <w:rPr>
          <w:rFonts w:cs="Arial"/>
        </w:rPr>
        <w:t xml:space="preserve">any particular </w:t>
      </w:r>
      <w:r w:rsidR="00585CFC">
        <w:rPr>
          <w:rFonts w:cs="Arial"/>
        </w:rPr>
        <w:t xml:space="preserve">interpretation of “therapeutic purposes” </w:t>
      </w:r>
      <w:r w:rsidR="00514758">
        <w:rPr>
          <w:rFonts w:cs="Arial"/>
        </w:rPr>
        <w:t xml:space="preserve">at this time, both out of deference to ATF’s authority to interpret the relevant statute and </w:t>
      </w:r>
      <w:r w:rsidR="00B3234C">
        <w:rPr>
          <w:rFonts w:cs="Arial"/>
        </w:rPr>
        <w:t xml:space="preserve">because no ENDS products have been FDA-approved for any arguably relevant purpose </w:t>
      </w:r>
      <w:r w:rsidR="008E24CE">
        <w:rPr>
          <w:rFonts w:cs="Arial"/>
        </w:rPr>
        <w:t>at any rate.</w:t>
      </w:r>
      <w:r w:rsidR="006D0CAD">
        <w:rPr>
          <w:rFonts w:cs="Arial"/>
        </w:rPr>
        <w:t xml:space="preserve"> </w:t>
      </w:r>
      <w:proofErr w:type="gramStart"/>
      <w:r w:rsidR="006D0CAD">
        <w:rPr>
          <w:rFonts w:cs="Arial"/>
        </w:rPr>
        <w:t>In the event that</w:t>
      </w:r>
      <w:proofErr w:type="gramEnd"/>
      <w:r w:rsidR="006D0CAD">
        <w:rPr>
          <w:rFonts w:cs="Arial"/>
        </w:rPr>
        <w:t xml:space="preserve"> any such product garners FDA approval for a use other than tobacco cessation, then </w:t>
      </w:r>
      <w:r w:rsidR="00541FF5">
        <w:rPr>
          <w:rFonts w:cs="Arial"/>
        </w:rPr>
        <w:t xml:space="preserve">ATF may find it appropriate to opine on whether that product </w:t>
      </w:r>
      <w:r w:rsidR="00F40FA4">
        <w:rPr>
          <w:rFonts w:cs="Arial"/>
        </w:rPr>
        <w:t xml:space="preserve">fulfills a “therapeutic purpose” </w:t>
      </w:r>
      <w:r w:rsidR="00541FF5">
        <w:rPr>
          <w:rFonts w:cs="Arial"/>
        </w:rPr>
        <w:t xml:space="preserve">for </w:t>
      </w:r>
      <w:r w:rsidR="00F40FA4">
        <w:rPr>
          <w:rFonts w:cs="Arial"/>
        </w:rPr>
        <w:t xml:space="preserve">purposes of </w:t>
      </w:r>
      <w:r w:rsidR="00541FF5">
        <w:rPr>
          <w:rFonts w:cs="Arial"/>
        </w:rPr>
        <w:t>the POSECCA exclusion</w:t>
      </w:r>
      <w:r w:rsidR="00F40FA4">
        <w:rPr>
          <w:rFonts w:cs="Arial"/>
        </w:rPr>
        <w:t>.</w:t>
      </w:r>
    </w:p>
    <w:p w14:paraId="4C687786" w14:textId="15D3F827" w:rsidR="008445F6" w:rsidRPr="006F5D98" w:rsidRDefault="008708FA" w:rsidP="00FE6779">
      <w:pPr>
        <w:ind w:firstLine="720"/>
        <w:rPr>
          <w:bCs/>
        </w:rPr>
      </w:pPr>
      <w:r w:rsidRPr="00FE6779">
        <w:rPr>
          <w:b/>
          <w:bCs/>
        </w:rPr>
        <w:t>F.</w:t>
      </w:r>
      <w:r w:rsidRPr="00FE6779">
        <w:rPr>
          <w:b/>
          <w:bCs/>
        </w:rPr>
        <w:tab/>
      </w:r>
      <w:bookmarkStart w:id="30" w:name="_Toc79569815"/>
      <w:r w:rsidR="007B18DB" w:rsidRPr="007B18DB">
        <w:rPr>
          <w:b/>
          <w:bCs/>
        </w:rPr>
        <w:t>Intra-Alaska/Intra-Hawaii</w:t>
      </w:r>
      <w:r w:rsidR="007B18DB">
        <w:rPr>
          <w:b/>
          <w:bCs/>
        </w:rPr>
        <w:t xml:space="preserve"> </w:t>
      </w:r>
      <w:bookmarkEnd w:id="30"/>
      <w:r w:rsidR="007B18DB">
        <w:rPr>
          <w:b/>
          <w:bCs/>
        </w:rPr>
        <w:t>Shipments</w:t>
      </w:r>
    </w:p>
    <w:p w14:paraId="24B8462A" w14:textId="0782D078" w:rsidR="008445F6" w:rsidRDefault="003B2C4B" w:rsidP="00FD29E0">
      <w:pPr>
        <w:shd w:val="clear" w:color="auto" w:fill="FFFFFF"/>
        <w:ind w:firstLine="720"/>
        <w:rPr>
          <w:rFonts w:cs="Arial"/>
        </w:rPr>
      </w:pPr>
      <w:r>
        <w:rPr>
          <w:rFonts w:cs="Arial"/>
        </w:rPr>
        <w:t>One public-health-oriented commenter proposed that the Postal Service clarify that</w:t>
      </w:r>
      <w:r w:rsidR="003A2932">
        <w:rPr>
          <w:rFonts w:cs="Arial"/>
        </w:rPr>
        <w:t xml:space="preserve">, while </w:t>
      </w:r>
      <w:r>
        <w:rPr>
          <w:rFonts w:cs="Arial"/>
        </w:rPr>
        <w:t xml:space="preserve">the </w:t>
      </w:r>
      <w:r w:rsidR="003A2932">
        <w:rPr>
          <w:rFonts w:cs="Arial"/>
        </w:rPr>
        <w:t xml:space="preserve">PACT Act’s </w:t>
      </w:r>
      <w:r>
        <w:rPr>
          <w:rFonts w:cs="Arial"/>
        </w:rPr>
        <w:t xml:space="preserve">exception for intrastate shipments within Alaska and Hawaii </w:t>
      </w:r>
      <w:r w:rsidR="00196E15">
        <w:rPr>
          <w:rFonts w:cs="Arial"/>
        </w:rPr>
        <w:t xml:space="preserve">may apply to ENDS products, it </w:t>
      </w:r>
      <w:r>
        <w:rPr>
          <w:rFonts w:cs="Arial"/>
        </w:rPr>
        <w:t xml:space="preserve">does not apply to interstate </w:t>
      </w:r>
      <w:r w:rsidR="00196E15">
        <w:rPr>
          <w:rFonts w:cs="Arial"/>
        </w:rPr>
        <w:t xml:space="preserve">ENDS </w:t>
      </w:r>
      <w:r>
        <w:rPr>
          <w:rFonts w:cs="Arial"/>
        </w:rPr>
        <w:t>shipments into or out of either state.</w:t>
      </w:r>
    </w:p>
    <w:p w14:paraId="5E8FA714" w14:textId="14E92900" w:rsidR="003B2C4B" w:rsidRPr="006869B7" w:rsidRDefault="00186995" w:rsidP="00FD29E0">
      <w:pPr>
        <w:shd w:val="clear" w:color="auto" w:fill="FFFFFF"/>
        <w:ind w:firstLine="720"/>
        <w:rPr>
          <w:rFonts w:cs="Arial"/>
          <w:i/>
          <w:iCs/>
        </w:rPr>
      </w:pPr>
      <w:r>
        <w:rPr>
          <w:rFonts w:cs="Arial"/>
        </w:rPr>
        <w:t xml:space="preserve">The Postal Service does not believe that such clarification is necessary. </w:t>
      </w:r>
      <w:r w:rsidR="001B1545">
        <w:rPr>
          <w:rFonts w:cs="Arial"/>
        </w:rPr>
        <w:t xml:space="preserve">The PACT Act </w:t>
      </w:r>
      <w:r w:rsidR="00605667">
        <w:rPr>
          <w:rFonts w:cs="Arial"/>
        </w:rPr>
        <w:t xml:space="preserve">is already abundantly </w:t>
      </w:r>
      <w:r w:rsidR="001B1545">
        <w:rPr>
          <w:rFonts w:cs="Arial"/>
        </w:rPr>
        <w:t xml:space="preserve">clear that the exception applies only to “mailings </w:t>
      </w:r>
      <w:r w:rsidR="001B1545" w:rsidRPr="006320FD">
        <w:rPr>
          <w:rFonts w:cs="Arial"/>
          <w:u w:val="single"/>
        </w:rPr>
        <w:t>within</w:t>
      </w:r>
      <w:r w:rsidR="001B1545">
        <w:rPr>
          <w:rFonts w:cs="Arial"/>
        </w:rPr>
        <w:t xml:space="preserve"> the State of Alaska or </w:t>
      </w:r>
      <w:r w:rsidR="001B1545" w:rsidRPr="006320FD">
        <w:rPr>
          <w:rFonts w:cs="Arial"/>
          <w:u w:val="single"/>
        </w:rPr>
        <w:t>within</w:t>
      </w:r>
      <w:r w:rsidR="001B1545">
        <w:rPr>
          <w:rFonts w:cs="Arial"/>
        </w:rPr>
        <w:t xml:space="preserve"> the State of Hawaii.” 18 U.S.C. 1716E(b)(</w:t>
      </w:r>
      <w:r w:rsidR="006320FD">
        <w:rPr>
          <w:rFonts w:cs="Arial"/>
        </w:rPr>
        <w:t xml:space="preserve">2) (emphasis added). </w:t>
      </w:r>
      <w:r>
        <w:rPr>
          <w:rFonts w:cs="Arial"/>
        </w:rPr>
        <w:t xml:space="preserve">Longstanding Postal Service rules, which will now encompass ENDS products, make </w:t>
      </w:r>
      <w:r w:rsidR="006320FD">
        <w:rPr>
          <w:rFonts w:cs="Arial"/>
        </w:rPr>
        <w:t>this even more explicit</w:t>
      </w:r>
      <w:r w:rsidR="00253379">
        <w:rPr>
          <w:rFonts w:cs="Arial"/>
        </w:rPr>
        <w:t xml:space="preserve">, by requiring </w:t>
      </w:r>
      <w:r w:rsidR="00655249">
        <w:rPr>
          <w:rFonts w:cs="Arial"/>
        </w:rPr>
        <w:t xml:space="preserve">such a mailing to </w:t>
      </w:r>
      <w:r w:rsidR="00253379">
        <w:rPr>
          <w:rFonts w:cs="Arial"/>
        </w:rPr>
        <w:t>be tendered</w:t>
      </w:r>
      <w:r w:rsidR="00655249">
        <w:rPr>
          <w:rFonts w:cs="Arial"/>
        </w:rPr>
        <w:t xml:space="preserve"> to a Postal Service employee </w:t>
      </w:r>
      <w:r w:rsidR="00807BAB">
        <w:rPr>
          <w:rFonts w:cs="Arial"/>
        </w:rPr>
        <w:t xml:space="preserve">in a face-to-face transaction </w:t>
      </w:r>
      <w:r w:rsidR="00655249">
        <w:rPr>
          <w:rFonts w:cs="Arial"/>
        </w:rPr>
        <w:t>within the relevant State, to destinate in the same state as the state of origin, and to bear a valid, complete return address within the state of origin</w:t>
      </w:r>
      <w:r w:rsidR="006320FD">
        <w:rPr>
          <w:rFonts w:cs="Arial"/>
        </w:rPr>
        <w:t>. Publication 52 section 472.</w:t>
      </w:r>
      <w:r w:rsidR="00253379">
        <w:rPr>
          <w:rFonts w:cs="Arial"/>
        </w:rPr>
        <w:t>21</w:t>
      </w:r>
      <w:r w:rsidR="00807BAB">
        <w:rPr>
          <w:rFonts w:cs="Arial"/>
        </w:rPr>
        <w:t>.</w:t>
      </w:r>
      <w:r w:rsidR="00253379">
        <w:rPr>
          <w:rFonts w:cs="Arial"/>
        </w:rPr>
        <w:t>a</w:t>
      </w:r>
      <w:proofErr w:type="gramStart"/>
      <w:r w:rsidR="00605667">
        <w:rPr>
          <w:rFonts w:cs="Arial"/>
        </w:rPr>
        <w:t>–</w:t>
      </w:r>
      <w:r w:rsidR="00253379">
        <w:rPr>
          <w:rFonts w:cs="Arial"/>
        </w:rPr>
        <w:t>.c</w:t>
      </w:r>
      <w:r w:rsidR="00655249">
        <w:rPr>
          <w:rFonts w:cs="Arial"/>
        </w:rPr>
        <w:t>.</w:t>
      </w:r>
      <w:proofErr w:type="gramEnd"/>
      <w:r w:rsidR="00F36BD9">
        <w:rPr>
          <w:rStyle w:val="FootnoteReference"/>
          <w:rFonts w:cs="Arial"/>
        </w:rPr>
        <w:footnoteReference w:id="16"/>
      </w:r>
      <w:r w:rsidR="00A45BE0">
        <w:rPr>
          <w:rFonts w:cs="Arial"/>
        </w:rPr>
        <w:t xml:space="preserve"> These requirements allow </w:t>
      </w:r>
      <w:r w:rsidR="006869B7">
        <w:rPr>
          <w:rFonts w:cs="Arial"/>
        </w:rPr>
        <w:t xml:space="preserve">Postal Service </w:t>
      </w:r>
      <w:r w:rsidR="006869B7">
        <w:rPr>
          <w:rFonts w:cs="Arial"/>
        </w:rPr>
        <w:lastRenderedPageBreak/>
        <w:t xml:space="preserve">personnel at the point of acceptance to verify that the shipment will destinate in the noncontiguous state of origin. </w:t>
      </w:r>
      <w:r w:rsidR="009A5B23" w:rsidRPr="009A5B23">
        <w:rPr>
          <w:rFonts w:cs="Arial"/>
        </w:rPr>
        <w:t>Treatment of Cigarettes and Smokeless Tobacco as Nonmailable Matter</w:t>
      </w:r>
      <w:r w:rsidR="009A5B23">
        <w:rPr>
          <w:rFonts w:cs="Arial"/>
        </w:rPr>
        <w:t xml:space="preserve">, 75 </w:t>
      </w:r>
      <w:r w:rsidR="007A54C0">
        <w:rPr>
          <w:rFonts w:cs="Arial"/>
        </w:rPr>
        <w:t>FR</w:t>
      </w:r>
      <w:r w:rsidR="009A5B23">
        <w:rPr>
          <w:rFonts w:cs="Arial"/>
        </w:rPr>
        <w:t xml:space="preserve"> 24534, </w:t>
      </w:r>
      <w:r w:rsidR="006869B7">
        <w:rPr>
          <w:rFonts w:cs="Arial"/>
        </w:rPr>
        <w:t>24535</w:t>
      </w:r>
      <w:r w:rsidR="009A5B23">
        <w:rPr>
          <w:rFonts w:cs="Arial"/>
        </w:rPr>
        <w:t xml:space="preserve"> (2010)</w:t>
      </w:r>
      <w:r w:rsidR="004C53FA">
        <w:rPr>
          <w:rFonts w:cs="Arial"/>
        </w:rPr>
        <w:t xml:space="preserve"> (notice of proposed rulemaking)</w:t>
      </w:r>
      <w:r w:rsidR="006869B7">
        <w:rPr>
          <w:rFonts w:cs="Arial"/>
        </w:rPr>
        <w:t>.</w:t>
      </w:r>
      <w:r w:rsidR="006356B3">
        <w:rPr>
          <w:rFonts w:cs="Arial"/>
        </w:rPr>
        <w:t xml:space="preserve"> It is difficult to </w:t>
      </w:r>
      <w:r w:rsidR="0063582C">
        <w:rPr>
          <w:rFonts w:cs="Arial"/>
        </w:rPr>
        <w:t xml:space="preserve">imagine </w:t>
      </w:r>
      <w:r w:rsidR="004A7E7F">
        <w:rPr>
          <w:rFonts w:cs="Arial"/>
        </w:rPr>
        <w:t xml:space="preserve">how </w:t>
      </w:r>
      <w:r w:rsidR="006356B3">
        <w:rPr>
          <w:rFonts w:cs="Arial"/>
        </w:rPr>
        <w:t>the geographic limitation on this exception</w:t>
      </w:r>
      <w:r w:rsidR="004A7E7F">
        <w:rPr>
          <w:rFonts w:cs="Arial"/>
        </w:rPr>
        <w:t xml:space="preserve"> could be made any clearer</w:t>
      </w:r>
      <w:r w:rsidR="006356B3">
        <w:rPr>
          <w:rFonts w:cs="Arial"/>
        </w:rPr>
        <w:t>.</w:t>
      </w:r>
    </w:p>
    <w:p w14:paraId="7AD321B8" w14:textId="25D2BBA6" w:rsidR="00016516" w:rsidRPr="006F5D98" w:rsidRDefault="008708FA" w:rsidP="00FE6779">
      <w:pPr>
        <w:ind w:left="720"/>
        <w:rPr>
          <w:bCs/>
        </w:rPr>
      </w:pPr>
      <w:r w:rsidRPr="00FE6779">
        <w:rPr>
          <w:b/>
          <w:bCs/>
        </w:rPr>
        <w:t>G.</w:t>
      </w:r>
      <w:r w:rsidRPr="00FE6779">
        <w:rPr>
          <w:b/>
          <w:bCs/>
        </w:rPr>
        <w:tab/>
      </w:r>
      <w:bookmarkStart w:id="31" w:name="_Toc79569816"/>
      <w:r w:rsidR="00016516" w:rsidRPr="00FE6779">
        <w:rPr>
          <w:b/>
          <w:bCs/>
        </w:rPr>
        <w:t>Business/Regulatory Purposes Exception</w:t>
      </w:r>
      <w:bookmarkEnd w:id="31"/>
    </w:p>
    <w:p w14:paraId="3764704D" w14:textId="36FB0C21" w:rsidR="00312462" w:rsidRDefault="00AE0F2F" w:rsidP="00FD29E0">
      <w:pPr>
        <w:shd w:val="clear" w:color="auto" w:fill="FFFFFF"/>
        <w:ind w:firstLine="720"/>
        <w:rPr>
          <w:rFonts w:cs="Arial"/>
        </w:rPr>
      </w:pPr>
      <w:r>
        <w:rPr>
          <w:rFonts w:cs="Arial"/>
        </w:rPr>
        <w:t xml:space="preserve">The Business/Regulatory Purposes exception was a major </w:t>
      </w:r>
      <w:r w:rsidR="00951564">
        <w:rPr>
          <w:rFonts w:cs="Arial"/>
        </w:rPr>
        <w:t>area</w:t>
      </w:r>
      <w:r>
        <w:rPr>
          <w:rFonts w:cs="Arial"/>
        </w:rPr>
        <w:t xml:space="preserve"> of commenter </w:t>
      </w:r>
      <w:r w:rsidR="00951564">
        <w:rPr>
          <w:rFonts w:cs="Arial"/>
        </w:rPr>
        <w:t>discussion</w:t>
      </w:r>
      <w:r>
        <w:rPr>
          <w:rFonts w:cs="Arial"/>
        </w:rPr>
        <w:t xml:space="preserve">, and so it is discussed </w:t>
      </w:r>
      <w:r w:rsidR="00642524">
        <w:rPr>
          <w:rFonts w:cs="Arial"/>
        </w:rPr>
        <w:t xml:space="preserve">extensively </w:t>
      </w:r>
      <w:r>
        <w:rPr>
          <w:rFonts w:cs="Arial"/>
        </w:rPr>
        <w:t>here.</w:t>
      </w:r>
      <w:r w:rsidR="00B22D5A">
        <w:rPr>
          <w:rFonts w:cs="Arial"/>
        </w:rPr>
        <w:t xml:space="preserve"> In </w:t>
      </w:r>
      <w:r w:rsidR="00717C54">
        <w:rPr>
          <w:rFonts w:cs="Arial"/>
        </w:rPr>
        <w:t>short, the exception permits shipments between legally operating businesses in certain industry sectors and between such businesses and Federal or State government agencies, subject to multiple conditions.</w:t>
      </w:r>
      <w:r w:rsidR="00F745F6">
        <w:rPr>
          <w:rFonts w:cs="Arial"/>
        </w:rPr>
        <w:t xml:space="preserve"> 18 U.S.C. 1716E(</w:t>
      </w:r>
      <w:r w:rsidR="00FB3941">
        <w:rPr>
          <w:rFonts w:cs="Arial"/>
        </w:rPr>
        <w:t>b)(3)(A).</w:t>
      </w:r>
      <w:r w:rsidR="00717C54">
        <w:rPr>
          <w:rFonts w:cs="Arial"/>
        </w:rPr>
        <w:t xml:space="preserve"> Those conditions </w:t>
      </w:r>
      <w:r w:rsidR="00562859">
        <w:rPr>
          <w:rFonts w:cs="Arial"/>
        </w:rPr>
        <w:t xml:space="preserve">include Postal Service verification of </w:t>
      </w:r>
      <w:r w:rsidR="00CF5059">
        <w:rPr>
          <w:rFonts w:cs="Arial"/>
        </w:rPr>
        <w:t>the sender and recipient’s respective eligibility</w:t>
      </w:r>
      <w:r w:rsidR="00F745F6">
        <w:rPr>
          <w:rFonts w:cs="Arial"/>
        </w:rPr>
        <w:t>, as well as the recipient’s age and employee status</w:t>
      </w:r>
      <w:r w:rsidR="00CF5059">
        <w:rPr>
          <w:rFonts w:cs="Arial"/>
        </w:rPr>
        <w:t xml:space="preserve">; </w:t>
      </w:r>
      <w:r w:rsidR="00DE18ED">
        <w:rPr>
          <w:rFonts w:cs="Arial"/>
        </w:rPr>
        <w:t xml:space="preserve">restriction of available products to those that allow tracking and confirmation of delivery; </w:t>
      </w:r>
      <w:r w:rsidR="00707AF5">
        <w:rPr>
          <w:rFonts w:cs="Arial"/>
        </w:rPr>
        <w:t xml:space="preserve">capture and </w:t>
      </w:r>
      <w:r w:rsidR="00DE18ED">
        <w:rPr>
          <w:rFonts w:cs="Arial"/>
        </w:rPr>
        <w:t xml:space="preserve">retention </w:t>
      </w:r>
      <w:r w:rsidR="00707AF5">
        <w:rPr>
          <w:rFonts w:cs="Arial"/>
        </w:rPr>
        <w:t xml:space="preserve">of package-specific identifying information </w:t>
      </w:r>
      <w:r w:rsidR="00DE18ED">
        <w:rPr>
          <w:rFonts w:cs="Arial"/>
        </w:rPr>
        <w:t xml:space="preserve">by the Postal Service; </w:t>
      </w:r>
      <w:r w:rsidR="00F745F6">
        <w:rPr>
          <w:rFonts w:cs="Arial"/>
        </w:rPr>
        <w:t xml:space="preserve">and </w:t>
      </w:r>
      <w:r w:rsidR="00707AF5">
        <w:rPr>
          <w:rFonts w:cs="Arial"/>
        </w:rPr>
        <w:t>certain package markings</w:t>
      </w:r>
      <w:r w:rsidR="00F745F6">
        <w:rPr>
          <w:rFonts w:cs="Arial"/>
        </w:rPr>
        <w:t>.</w:t>
      </w:r>
      <w:r w:rsidR="00FB3941">
        <w:rPr>
          <w:rFonts w:cs="Arial"/>
        </w:rPr>
        <w:t xml:space="preserve"> </w:t>
      </w:r>
      <w:r w:rsidR="00FB3941">
        <w:rPr>
          <w:rFonts w:cs="Arial"/>
          <w:i/>
          <w:iCs/>
        </w:rPr>
        <w:t>Id.</w:t>
      </w:r>
      <w:r w:rsidR="00FB3941">
        <w:rPr>
          <w:rFonts w:cs="Arial"/>
        </w:rPr>
        <w:t xml:space="preserve"> at (b)(3)(B).</w:t>
      </w:r>
    </w:p>
    <w:p w14:paraId="09AD5C48" w14:textId="0B214C48" w:rsidR="00E11ED9" w:rsidRDefault="00FB3941" w:rsidP="00FD29E0">
      <w:pPr>
        <w:shd w:val="clear" w:color="auto" w:fill="FFFFFF"/>
        <w:ind w:firstLine="720"/>
        <w:rPr>
          <w:rFonts w:cs="Arial"/>
        </w:rPr>
      </w:pPr>
      <w:r>
        <w:rPr>
          <w:rFonts w:cs="Arial"/>
        </w:rPr>
        <w:t xml:space="preserve">In implementing </w:t>
      </w:r>
      <w:r w:rsidR="00663A50">
        <w:rPr>
          <w:rFonts w:cs="Arial"/>
        </w:rPr>
        <w:t xml:space="preserve">these requirements, the Postal Service adopted a process whereby </w:t>
      </w:r>
      <w:r w:rsidR="00DD405A">
        <w:rPr>
          <w:rFonts w:cs="Arial"/>
        </w:rPr>
        <w:t xml:space="preserve">potential senders </w:t>
      </w:r>
      <w:r w:rsidR="00663A50">
        <w:rPr>
          <w:rFonts w:cs="Arial"/>
        </w:rPr>
        <w:t>must</w:t>
      </w:r>
      <w:r w:rsidR="009A2ECF">
        <w:rPr>
          <w:rFonts w:cs="Arial"/>
        </w:rPr>
        <w:t xml:space="preserve"> first</w:t>
      </w:r>
      <w:r w:rsidR="00663A50">
        <w:rPr>
          <w:rFonts w:cs="Arial"/>
        </w:rPr>
        <w:t xml:space="preserve"> submit an advance application to the Postal Service’s Pricing and Classification Service Center (PCSC) </w:t>
      </w:r>
      <w:r w:rsidR="00EC4BFF">
        <w:rPr>
          <w:rFonts w:cs="Arial"/>
        </w:rPr>
        <w:t>for an eligibility verification as to the applicant and any anticipated recipients of that applicant’s shipments</w:t>
      </w:r>
      <w:r w:rsidR="00C239D3">
        <w:rPr>
          <w:rFonts w:cs="Arial"/>
        </w:rPr>
        <w:t xml:space="preserve">. Publication 52 section 472.221. Upon </w:t>
      </w:r>
      <w:r w:rsidR="00D56B7C">
        <w:rPr>
          <w:rFonts w:cs="Arial"/>
        </w:rPr>
        <w:t xml:space="preserve">a </w:t>
      </w:r>
      <w:r w:rsidR="00C239D3">
        <w:rPr>
          <w:rFonts w:cs="Arial"/>
        </w:rPr>
        <w:t xml:space="preserve">PCSC </w:t>
      </w:r>
      <w:r w:rsidR="00D56B7C">
        <w:rPr>
          <w:rFonts w:cs="Arial"/>
        </w:rPr>
        <w:t>determination of eligibility</w:t>
      </w:r>
      <w:r w:rsidR="00C239D3">
        <w:rPr>
          <w:rFonts w:cs="Arial"/>
        </w:rPr>
        <w:t xml:space="preserve">, </w:t>
      </w:r>
      <w:r w:rsidR="00DD405A">
        <w:rPr>
          <w:rFonts w:cs="Arial"/>
        </w:rPr>
        <w:t xml:space="preserve">the </w:t>
      </w:r>
      <w:r w:rsidR="00D56B7C">
        <w:rPr>
          <w:rFonts w:cs="Arial"/>
        </w:rPr>
        <w:t xml:space="preserve">authorized </w:t>
      </w:r>
      <w:r w:rsidR="00DD405A">
        <w:rPr>
          <w:rFonts w:cs="Arial"/>
        </w:rPr>
        <w:t xml:space="preserve">sender must show the resulting </w:t>
      </w:r>
      <w:r w:rsidR="00D56B7C">
        <w:rPr>
          <w:rFonts w:cs="Arial"/>
        </w:rPr>
        <w:t xml:space="preserve">authorization </w:t>
      </w:r>
      <w:r w:rsidR="00DD405A">
        <w:rPr>
          <w:rFonts w:cs="Arial"/>
        </w:rPr>
        <w:t xml:space="preserve">letter </w:t>
      </w:r>
      <w:r w:rsidR="00312E21">
        <w:rPr>
          <w:rFonts w:cs="Arial"/>
        </w:rPr>
        <w:t xml:space="preserve">when tendering any covered mailing via a face-to-face </w:t>
      </w:r>
      <w:r w:rsidR="00312E21">
        <w:rPr>
          <w:rFonts w:cs="Arial"/>
        </w:rPr>
        <w:lastRenderedPageBreak/>
        <w:t>transaction with a Postal Service employee</w:t>
      </w:r>
      <w:r w:rsidR="00C239D3">
        <w:rPr>
          <w:rFonts w:cs="Arial"/>
        </w:rPr>
        <w:t xml:space="preserve"> at </w:t>
      </w:r>
      <w:r w:rsidR="00E83408">
        <w:rPr>
          <w:rFonts w:cs="Arial"/>
        </w:rPr>
        <w:t>an approved acceptance location</w:t>
      </w:r>
      <w:r w:rsidR="00312E21">
        <w:rPr>
          <w:rFonts w:cs="Arial"/>
        </w:rPr>
        <w:t xml:space="preserve">. </w:t>
      </w:r>
      <w:r w:rsidR="0054340E">
        <w:rPr>
          <w:rFonts w:cs="Arial"/>
          <w:i/>
          <w:iCs/>
        </w:rPr>
        <w:t xml:space="preserve">Id. </w:t>
      </w:r>
      <w:r w:rsidR="00312E21">
        <w:rPr>
          <w:rFonts w:cs="Arial"/>
        </w:rPr>
        <w:t>section 472</w:t>
      </w:r>
      <w:r w:rsidR="00D173E9">
        <w:rPr>
          <w:rFonts w:cs="Arial"/>
        </w:rPr>
        <w:t>.222.</w:t>
      </w:r>
      <w:r w:rsidR="0054340E">
        <w:rPr>
          <w:rFonts w:cs="Arial"/>
        </w:rPr>
        <w:t xml:space="preserve"> The mailer may use only certain combinations of postal services that allow for age verification, tracking, and confirmation of delivery</w:t>
      </w:r>
      <w:r w:rsidR="0078389C">
        <w:rPr>
          <w:rFonts w:cs="Arial"/>
        </w:rPr>
        <w:t>, as well as a return receipt returnable to the PCSC for recordkeeping purposes</w:t>
      </w:r>
      <w:r w:rsidR="0054340E">
        <w:rPr>
          <w:rFonts w:cs="Arial"/>
        </w:rPr>
        <w:t xml:space="preserve">. </w:t>
      </w:r>
      <w:r w:rsidR="0054340E">
        <w:rPr>
          <w:rFonts w:cs="Arial"/>
          <w:i/>
          <w:iCs/>
        </w:rPr>
        <w:t>Id.</w:t>
      </w:r>
      <w:r w:rsidR="0054340E">
        <w:rPr>
          <w:rFonts w:cs="Arial"/>
        </w:rPr>
        <w:t xml:space="preserve"> section 472.</w:t>
      </w:r>
      <w:r w:rsidR="0078389C">
        <w:rPr>
          <w:rFonts w:cs="Arial"/>
        </w:rPr>
        <w:t>222</w:t>
      </w:r>
      <w:r w:rsidR="00BD32BC">
        <w:rPr>
          <w:rFonts w:cs="Arial"/>
        </w:rPr>
        <w:t>.</w:t>
      </w:r>
      <w:r w:rsidR="0078389C">
        <w:rPr>
          <w:rFonts w:cs="Arial"/>
        </w:rPr>
        <w:t>a</w:t>
      </w:r>
      <w:proofErr w:type="gramStart"/>
      <w:r w:rsidR="0078389C">
        <w:rPr>
          <w:rFonts w:cs="Arial"/>
        </w:rPr>
        <w:t>–</w:t>
      </w:r>
      <w:r w:rsidR="0055507C">
        <w:rPr>
          <w:rFonts w:cs="Arial"/>
        </w:rPr>
        <w:t>.</w:t>
      </w:r>
      <w:r w:rsidR="0078389C">
        <w:rPr>
          <w:rFonts w:cs="Arial"/>
        </w:rPr>
        <w:t>b.</w:t>
      </w:r>
      <w:proofErr w:type="gramEnd"/>
      <w:r w:rsidR="0078389C">
        <w:rPr>
          <w:rFonts w:cs="Arial"/>
        </w:rPr>
        <w:t xml:space="preserve"> </w:t>
      </w:r>
      <w:r w:rsidR="00180487">
        <w:rPr>
          <w:rFonts w:cs="Arial"/>
        </w:rPr>
        <w:t>Finally, the Postal Service conducts the requisite verification of age, identity, and employment status upon</w:t>
      </w:r>
      <w:r w:rsidR="009B23B7">
        <w:rPr>
          <w:rFonts w:cs="Arial"/>
        </w:rPr>
        <w:t xml:space="preserve"> face-to-face delivery. </w:t>
      </w:r>
      <w:r w:rsidR="009B23B7">
        <w:rPr>
          <w:rFonts w:cs="Arial"/>
          <w:i/>
          <w:iCs/>
        </w:rPr>
        <w:t>Id.</w:t>
      </w:r>
      <w:r w:rsidR="009B23B7">
        <w:rPr>
          <w:rFonts w:cs="Arial"/>
        </w:rPr>
        <w:t xml:space="preserve"> section 472.223.</w:t>
      </w:r>
    </w:p>
    <w:p w14:paraId="4257D180" w14:textId="72329E1E" w:rsidR="00312462" w:rsidRPr="0054340E" w:rsidRDefault="007F0B9E" w:rsidP="00FD29E0">
      <w:pPr>
        <w:shd w:val="clear" w:color="auto" w:fill="FFFFFF"/>
        <w:ind w:firstLine="720"/>
        <w:rPr>
          <w:rFonts w:cs="Arial"/>
        </w:rPr>
      </w:pPr>
      <w:r>
        <w:rPr>
          <w:rFonts w:cs="Arial"/>
        </w:rPr>
        <w:t xml:space="preserve">In the notice of proposed rulemaking, the Postal Service proposed a simple amendment to the terminology used in the Business/Regulatory Exception rules, such that the same rules would automatically apply to ENDS products as to other </w:t>
      </w:r>
      <w:r w:rsidR="003978DE">
        <w:rPr>
          <w:rFonts w:cs="Arial"/>
        </w:rPr>
        <w:t>PACT Act–</w:t>
      </w:r>
      <w:r>
        <w:rPr>
          <w:rFonts w:cs="Arial"/>
        </w:rPr>
        <w:t xml:space="preserve">covered products. </w:t>
      </w:r>
      <w:r w:rsidR="00BB2C41">
        <w:rPr>
          <w:rFonts w:cs="Arial"/>
        </w:rPr>
        <w:t xml:space="preserve">86 </w:t>
      </w:r>
      <w:r w:rsidR="007A54C0">
        <w:rPr>
          <w:rFonts w:cs="Arial"/>
        </w:rPr>
        <w:t>FR</w:t>
      </w:r>
      <w:r w:rsidR="00BB2C41">
        <w:rPr>
          <w:rFonts w:cs="Arial"/>
        </w:rPr>
        <w:t> at 10220.</w:t>
      </w:r>
      <w:r>
        <w:rPr>
          <w:rFonts w:cs="Arial"/>
        </w:rPr>
        <w:t xml:space="preserve"> </w:t>
      </w:r>
    </w:p>
    <w:p w14:paraId="003AF37D" w14:textId="687DA9FE" w:rsidR="005A6EB8" w:rsidRPr="006F5D98" w:rsidRDefault="008708FA" w:rsidP="00FE6779">
      <w:pPr>
        <w:ind w:left="720" w:firstLine="720"/>
        <w:rPr>
          <w:bCs/>
        </w:rPr>
      </w:pPr>
      <w:bookmarkStart w:id="32" w:name="_Toc79569817"/>
      <w:r w:rsidRPr="00FE6779">
        <w:rPr>
          <w:b/>
          <w:bCs/>
        </w:rPr>
        <w:t>1.</w:t>
      </w:r>
      <w:r w:rsidRPr="00FE6779">
        <w:rPr>
          <w:b/>
          <w:bCs/>
        </w:rPr>
        <w:tab/>
      </w:r>
      <w:r w:rsidR="00A67480" w:rsidRPr="00FE6779">
        <w:rPr>
          <w:b/>
          <w:bCs/>
        </w:rPr>
        <w:t>Availability in General</w:t>
      </w:r>
      <w:bookmarkEnd w:id="32"/>
    </w:p>
    <w:p w14:paraId="6E581BBD" w14:textId="417B4F72" w:rsidR="00016516" w:rsidRDefault="00E11ED9" w:rsidP="00FD29E0">
      <w:pPr>
        <w:shd w:val="clear" w:color="auto" w:fill="FFFFFF"/>
        <w:ind w:firstLine="720"/>
      </w:pPr>
      <w:r>
        <w:rPr>
          <w:rFonts w:cs="Arial"/>
        </w:rPr>
        <w:t xml:space="preserve">As an initial matter, a few comments </w:t>
      </w:r>
      <w:r w:rsidR="00BE46A0">
        <w:rPr>
          <w:rFonts w:cs="Arial"/>
        </w:rPr>
        <w:t xml:space="preserve">dealt with existential aspects of the exception. Two ENDS industry commenters sought confirmation that the exception would </w:t>
      </w:r>
      <w:r w:rsidR="00F76C79">
        <w:rPr>
          <w:rFonts w:cs="Arial"/>
        </w:rPr>
        <w:t>extend to ENDS products</w:t>
      </w:r>
      <w:r w:rsidR="006002A8">
        <w:rPr>
          <w:rFonts w:cs="Arial"/>
        </w:rPr>
        <w:t xml:space="preserve">, in order to </w:t>
      </w:r>
      <w:r w:rsidR="006002A8">
        <w:t>sustain industry supply chains, regulatory activities, and the channeling of ENDS to retail outlets subject to State and local law (in lieu of direct-to-consumer shipments).</w:t>
      </w:r>
      <w:r w:rsidR="001D7F8C">
        <w:t xml:space="preserve"> </w:t>
      </w:r>
      <w:r w:rsidR="0075305F">
        <w:t xml:space="preserve">Conversely, one law student urged the abolition of the exception </w:t>
      </w:r>
      <w:r w:rsidR="00F76C79">
        <w:t xml:space="preserve">for ENDS products </w:t>
      </w:r>
      <w:r w:rsidR="0075305F">
        <w:t>except as necessary for regulatory activities.</w:t>
      </w:r>
    </w:p>
    <w:p w14:paraId="08D09AC1" w14:textId="6108D5A4" w:rsidR="0049420E" w:rsidRDefault="007B6386" w:rsidP="00FD29E0">
      <w:pPr>
        <w:shd w:val="clear" w:color="auto" w:fill="FFFFFF"/>
        <w:ind w:firstLine="720"/>
        <w:rPr>
          <w:rFonts w:cs="Arial"/>
        </w:rPr>
      </w:pPr>
      <w:r>
        <w:rPr>
          <w:rFonts w:cs="Arial"/>
        </w:rPr>
        <w:t xml:space="preserve">As discussed in </w:t>
      </w:r>
      <w:r w:rsidRPr="00884DA7">
        <w:rPr>
          <w:rFonts w:cs="Arial"/>
        </w:rPr>
        <w:t xml:space="preserve">section </w:t>
      </w:r>
      <w:r w:rsidRPr="0022072C">
        <w:rPr>
          <w:rFonts w:cs="Arial"/>
        </w:rPr>
        <w:t>III.A.2</w:t>
      </w:r>
      <w:r>
        <w:rPr>
          <w:rFonts w:cs="Arial"/>
        </w:rPr>
        <w:t xml:space="preserve">, the Business/Regulatory Purposes exception is </w:t>
      </w:r>
      <w:r w:rsidR="00AC55E7">
        <w:rPr>
          <w:rFonts w:cs="Arial"/>
        </w:rPr>
        <w:t xml:space="preserve">established by statute, and the Postal Service lacks the delegated authority to </w:t>
      </w:r>
      <w:r w:rsidR="0051542B">
        <w:rPr>
          <w:rFonts w:cs="Arial"/>
        </w:rPr>
        <w:t xml:space="preserve">modify or </w:t>
      </w:r>
      <w:r w:rsidR="00AC55E7">
        <w:rPr>
          <w:rFonts w:cs="Arial"/>
        </w:rPr>
        <w:t xml:space="preserve">restrict the exception’s applicability on policy grounds. </w:t>
      </w:r>
      <w:r w:rsidR="0051542B" w:rsidRPr="00444583">
        <w:rPr>
          <w:rFonts w:cs="Arial"/>
        </w:rPr>
        <w:t>Unlike the Consumer Testing an</w:t>
      </w:r>
      <w:r w:rsidR="00C31943" w:rsidRPr="00444583">
        <w:rPr>
          <w:rFonts w:cs="Arial"/>
        </w:rPr>
        <w:t xml:space="preserve">d Public Health exceptions discussed in section </w:t>
      </w:r>
      <w:r w:rsidR="00C31943" w:rsidRPr="0022072C">
        <w:rPr>
          <w:rFonts w:cs="Arial"/>
        </w:rPr>
        <w:lastRenderedPageBreak/>
        <w:t>III.I</w:t>
      </w:r>
      <w:r w:rsidR="00C31943">
        <w:rPr>
          <w:rFonts w:cs="Arial"/>
        </w:rPr>
        <w:t xml:space="preserve">, nothing in the statutory language concerning the Business/Regulatory Purposes exception </w:t>
      </w:r>
      <w:r w:rsidR="00DF3A7F">
        <w:rPr>
          <w:rFonts w:cs="Arial"/>
        </w:rPr>
        <w:t xml:space="preserve">indicates Congressional intent to exclude ENDS products from the exception, and there is no other basis to find such products to be incompatible with the exception’s terms. </w:t>
      </w:r>
      <w:r w:rsidR="009043CD">
        <w:rPr>
          <w:rFonts w:cs="Arial"/>
        </w:rPr>
        <w:t xml:space="preserve">As such, the exception </w:t>
      </w:r>
      <w:r w:rsidR="00F76C79">
        <w:rPr>
          <w:rFonts w:cs="Arial"/>
        </w:rPr>
        <w:t>is</w:t>
      </w:r>
      <w:r w:rsidR="008509ED">
        <w:rPr>
          <w:rFonts w:cs="Arial"/>
        </w:rPr>
        <w:t xml:space="preserve"> available in connection with ENDS products</w:t>
      </w:r>
      <w:r w:rsidR="00E326A9">
        <w:rPr>
          <w:rFonts w:cs="Arial"/>
        </w:rPr>
        <w:t xml:space="preserve"> as a legal matter, regardless of whatever policy </w:t>
      </w:r>
      <w:r w:rsidR="00B45FD7">
        <w:rPr>
          <w:rFonts w:cs="Arial"/>
        </w:rPr>
        <w:t>arguments</w:t>
      </w:r>
      <w:r w:rsidR="00E326A9">
        <w:rPr>
          <w:rFonts w:cs="Arial"/>
        </w:rPr>
        <w:t xml:space="preserve"> might militate for or against it.</w:t>
      </w:r>
    </w:p>
    <w:p w14:paraId="74C65410" w14:textId="523F97DF" w:rsidR="00E90C8C" w:rsidRDefault="00A67480" w:rsidP="00FD29E0">
      <w:pPr>
        <w:shd w:val="clear" w:color="auto" w:fill="FFFFFF"/>
        <w:ind w:firstLine="720"/>
        <w:rPr>
          <w:rFonts w:cs="Arial"/>
        </w:rPr>
      </w:pPr>
      <w:r>
        <w:t xml:space="preserve">Another pro-ENDS commenter feared that the conditions for the exception could be expanded into termination of the exception altogether. </w:t>
      </w:r>
      <w:r w:rsidR="0033467E">
        <w:rPr>
          <w:rFonts w:cs="Arial"/>
        </w:rPr>
        <w:t xml:space="preserve">This comment appears to misconstrue the exception as a freestanding entitlement, upon which the Postal Service somehow discretionarily grafted conditions </w:t>
      </w:r>
      <w:proofErr w:type="gramStart"/>
      <w:r w:rsidR="0033467E">
        <w:rPr>
          <w:rFonts w:cs="Arial"/>
        </w:rPr>
        <w:t>as a means to</w:t>
      </w:r>
      <w:proofErr w:type="gramEnd"/>
      <w:r w:rsidR="0033467E">
        <w:rPr>
          <w:rFonts w:cs="Arial"/>
        </w:rPr>
        <w:t xml:space="preserve"> subvert the intended scope of the exception. In fact,</w:t>
      </w:r>
      <w:r w:rsidR="00B45FD7">
        <w:rPr>
          <w:rFonts w:cs="Arial"/>
        </w:rPr>
        <w:t xml:space="preserve"> however,</w:t>
      </w:r>
      <w:r w:rsidR="0033467E">
        <w:rPr>
          <w:rFonts w:cs="Arial"/>
        </w:rPr>
        <w:t xml:space="preserve"> </w:t>
      </w:r>
      <w:r w:rsidR="006F46FC">
        <w:rPr>
          <w:rFonts w:cs="Arial"/>
        </w:rPr>
        <w:t xml:space="preserve">Congress itself specified the </w:t>
      </w:r>
      <w:r w:rsidR="0033467E">
        <w:rPr>
          <w:rFonts w:cs="Arial"/>
        </w:rPr>
        <w:t xml:space="preserve">criteria </w:t>
      </w:r>
      <w:r w:rsidR="000C1A03">
        <w:rPr>
          <w:rFonts w:cs="Arial"/>
        </w:rPr>
        <w:t xml:space="preserve">as conditions precedent </w:t>
      </w:r>
      <w:r w:rsidR="0033467E">
        <w:rPr>
          <w:rFonts w:cs="Arial"/>
        </w:rPr>
        <w:t xml:space="preserve">that must be met </w:t>
      </w:r>
      <w:proofErr w:type="gramStart"/>
      <w:r w:rsidR="0033467E">
        <w:rPr>
          <w:rFonts w:cs="Arial"/>
        </w:rPr>
        <w:t>in order to</w:t>
      </w:r>
      <w:proofErr w:type="gramEnd"/>
      <w:r w:rsidR="0033467E">
        <w:rPr>
          <w:rFonts w:cs="Arial"/>
        </w:rPr>
        <w:t xml:space="preserve"> qualify for the limited exception</w:t>
      </w:r>
      <w:r w:rsidR="005D0E48">
        <w:rPr>
          <w:rFonts w:cs="Arial"/>
        </w:rPr>
        <w:t xml:space="preserve">: the conditions are therefore integral to the statutory </w:t>
      </w:r>
      <w:r w:rsidR="00736A9F">
        <w:rPr>
          <w:rFonts w:cs="Arial"/>
        </w:rPr>
        <w:t xml:space="preserve">framework for </w:t>
      </w:r>
      <w:r w:rsidR="005D0E48">
        <w:rPr>
          <w:rFonts w:cs="Arial"/>
        </w:rPr>
        <w:t>the exception</w:t>
      </w:r>
      <w:r w:rsidR="0033467E">
        <w:rPr>
          <w:rFonts w:cs="Arial"/>
        </w:rPr>
        <w:t xml:space="preserve">. </w:t>
      </w:r>
      <w:r w:rsidR="006F46FC">
        <w:rPr>
          <w:rFonts w:cs="Arial"/>
        </w:rPr>
        <w:t xml:space="preserve">The longstanding conditions in Publication 52 </w:t>
      </w:r>
      <w:r w:rsidR="00736A9F">
        <w:rPr>
          <w:rFonts w:cs="Arial"/>
        </w:rPr>
        <w:t xml:space="preserve">merely bear out that framework, either </w:t>
      </w:r>
      <w:r w:rsidR="0072098A">
        <w:rPr>
          <w:rFonts w:cs="Arial"/>
        </w:rPr>
        <w:t xml:space="preserve">by </w:t>
      </w:r>
      <w:r w:rsidR="00736A9F">
        <w:rPr>
          <w:rFonts w:cs="Arial"/>
        </w:rPr>
        <w:t xml:space="preserve">literally transmuting the statutory requirements </w:t>
      </w:r>
      <w:r w:rsidR="00031407">
        <w:rPr>
          <w:rFonts w:cs="Arial"/>
        </w:rPr>
        <w:t xml:space="preserve">or </w:t>
      </w:r>
      <w:r w:rsidR="0072098A">
        <w:rPr>
          <w:rFonts w:cs="Arial"/>
        </w:rPr>
        <w:t xml:space="preserve">by means designed </w:t>
      </w:r>
      <w:r w:rsidR="00031407">
        <w:rPr>
          <w:rFonts w:cs="Arial"/>
        </w:rPr>
        <w:t xml:space="preserve">to fulfill </w:t>
      </w:r>
      <w:r w:rsidR="0072098A">
        <w:rPr>
          <w:rFonts w:cs="Arial"/>
        </w:rPr>
        <w:t xml:space="preserve">those </w:t>
      </w:r>
      <w:r w:rsidR="00031407">
        <w:rPr>
          <w:rFonts w:cs="Arial"/>
        </w:rPr>
        <w:t>requirements.</w:t>
      </w:r>
      <w:r w:rsidR="008307D5">
        <w:rPr>
          <w:rFonts w:cs="Arial"/>
        </w:rPr>
        <w:t xml:space="preserve"> </w:t>
      </w:r>
      <w:r w:rsidR="0072098A">
        <w:rPr>
          <w:rFonts w:cs="Arial"/>
        </w:rPr>
        <w:t xml:space="preserve">The regulatory framework has </w:t>
      </w:r>
      <w:r w:rsidR="00124C9B">
        <w:rPr>
          <w:rFonts w:cs="Arial"/>
        </w:rPr>
        <w:t>applied to cigarettes and smokeless tobacco since 2010.</w:t>
      </w:r>
      <w:r w:rsidR="00031407">
        <w:rPr>
          <w:rFonts w:cs="Arial"/>
        </w:rPr>
        <w:t xml:space="preserve"> </w:t>
      </w:r>
      <w:r w:rsidR="008307D5">
        <w:rPr>
          <w:rFonts w:cs="Arial"/>
        </w:rPr>
        <w:t xml:space="preserve">The POSECCA charges the Postal Service with </w:t>
      </w:r>
      <w:r w:rsidR="00B55619">
        <w:rPr>
          <w:rFonts w:cs="Arial"/>
        </w:rPr>
        <w:t xml:space="preserve">clarifying </w:t>
      </w:r>
      <w:r w:rsidR="008307D5">
        <w:rPr>
          <w:rFonts w:cs="Arial"/>
        </w:rPr>
        <w:t>the applicability of the</w:t>
      </w:r>
      <w:r w:rsidR="00712AC8">
        <w:rPr>
          <w:rFonts w:cs="Arial"/>
        </w:rPr>
        <w:t xml:space="preserve"> limited</w:t>
      </w:r>
      <w:r w:rsidR="008307D5">
        <w:rPr>
          <w:rFonts w:cs="Arial"/>
        </w:rPr>
        <w:t xml:space="preserve"> exception, with its </w:t>
      </w:r>
      <w:r w:rsidR="00712AC8">
        <w:rPr>
          <w:rFonts w:cs="Arial"/>
        </w:rPr>
        <w:t>eligibility conditions</w:t>
      </w:r>
      <w:r w:rsidR="008307D5">
        <w:rPr>
          <w:rFonts w:cs="Arial"/>
        </w:rPr>
        <w:t>, to ENDS products</w:t>
      </w:r>
      <w:r w:rsidR="0072098A">
        <w:rPr>
          <w:rFonts w:cs="Arial"/>
        </w:rPr>
        <w:t xml:space="preserve">, and the final rules here do </w:t>
      </w:r>
      <w:r w:rsidR="006F2E98">
        <w:rPr>
          <w:rFonts w:cs="Arial"/>
        </w:rPr>
        <w:t>that</w:t>
      </w:r>
      <w:r w:rsidR="008307D5">
        <w:rPr>
          <w:rFonts w:cs="Arial"/>
        </w:rPr>
        <w:t>.</w:t>
      </w:r>
    </w:p>
    <w:p w14:paraId="59E461D1" w14:textId="2AF8D829" w:rsidR="0058554E" w:rsidRDefault="006614F6" w:rsidP="00FD29E0">
      <w:pPr>
        <w:shd w:val="clear" w:color="auto" w:fill="FFFFFF"/>
        <w:ind w:firstLine="720"/>
        <w:rPr>
          <w:rFonts w:cs="Arial"/>
        </w:rPr>
      </w:pPr>
      <w:r w:rsidRPr="00436339">
        <w:rPr>
          <w:rFonts w:cs="Arial"/>
        </w:rPr>
        <w:t>One public-health</w:t>
      </w:r>
      <w:r w:rsidR="009B0693" w:rsidRPr="00436339">
        <w:rPr>
          <w:rFonts w:cs="Arial"/>
        </w:rPr>
        <w:t xml:space="preserve">-oriented commenter </w:t>
      </w:r>
      <w:r w:rsidR="00C64B75">
        <w:rPr>
          <w:rFonts w:cs="Arial"/>
        </w:rPr>
        <w:t xml:space="preserve">viewed the Business/Regulatory Purposes exception as being cabined by 18 U.S.C. 1716, such that </w:t>
      </w:r>
      <w:r w:rsidR="00A119D4">
        <w:rPr>
          <w:rFonts w:cs="Arial"/>
        </w:rPr>
        <w:t xml:space="preserve">18 U.S.C. 1716(a) and (e) would preclude use of the Business/Regulatory Purposes </w:t>
      </w:r>
      <w:r w:rsidR="00A119D4">
        <w:rPr>
          <w:rFonts w:cs="Arial"/>
        </w:rPr>
        <w:lastRenderedPageBreak/>
        <w:t>exception as a “bulk distribution method”</w:t>
      </w:r>
      <w:r w:rsidR="004E56EB">
        <w:rPr>
          <w:rFonts w:cs="Arial"/>
        </w:rPr>
        <w:t xml:space="preserve"> for manufacturers and wholesalers to transport ENDS products to retailers.</w:t>
      </w:r>
      <w:r w:rsidR="00A119D4">
        <w:rPr>
          <w:rFonts w:cs="Arial"/>
        </w:rPr>
        <w:t xml:space="preserve"> </w:t>
      </w:r>
      <w:r w:rsidR="00A620C8">
        <w:rPr>
          <w:rFonts w:cs="Arial"/>
        </w:rPr>
        <w:t xml:space="preserve">It is true that eligibility to use the Business/Regulatory Purposes exception to the </w:t>
      </w:r>
      <w:r w:rsidR="0045106B">
        <w:rPr>
          <w:rFonts w:cs="Arial"/>
        </w:rPr>
        <w:t xml:space="preserve">PACT Act does not excuse a mailer from compliance with other applicable mailability statutes, including 18 U.S.C. 1716. But the Postal Service </w:t>
      </w:r>
      <w:r w:rsidR="001327D1">
        <w:rPr>
          <w:rFonts w:cs="Arial"/>
        </w:rPr>
        <w:t>cannot join the commenter’s sweeping conclusion that all “bulk distribution” shipments of ENDS products that could be sent under the Business/Regulatory Purposes exception would necessarily be prohibited or restricted under 18 U.S.C. 1716. Many ENDS products</w:t>
      </w:r>
      <w:r w:rsidR="000940CC">
        <w:rPr>
          <w:rFonts w:cs="Arial"/>
        </w:rPr>
        <w:t xml:space="preserve"> </w:t>
      </w:r>
      <w:r w:rsidR="001327D1">
        <w:rPr>
          <w:rFonts w:cs="Arial"/>
        </w:rPr>
        <w:t xml:space="preserve">do not </w:t>
      </w:r>
      <w:r w:rsidR="0057334B">
        <w:rPr>
          <w:rFonts w:cs="Arial"/>
        </w:rPr>
        <w:t xml:space="preserve">qualify as </w:t>
      </w:r>
      <w:r w:rsidR="0058554E">
        <w:rPr>
          <w:rFonts w:cs="Arial"/>
        </w:rPr>
        <w:t>injurious articles subject to</w:t>
      </w:r>
      <w:r w:rsidR="0057334B">
        <w:rPr>
          <w:rFonts w:cs="Arial"/>
        </w:rPr>
        <w:t xml:space="preserve"> 18 U.S.C. 1716</w:t>
      </w:r>
      <w:r w:rsidR="0058133D">
        <w:rPr>
          <w:rFonts w:cs="Arial"/>
        </w:rPr>
        <w:t xml:space="preserve">, and as discussed in </w:t>
      </w:r>
      <w:r w:rsidR="0058133D" w:rsidRPr="00444583">
        <w:rPr>
          <w:rFonts w:cs="Arial"/>
        </w:rPr>
        <w:t xml:space="preserve">section </w:t>
      </w:r>
      <w:r w:rsidR="000C7912" w:rsidRPr="0022072C">
        <w:rPr>
          <w:rFonts w:cs="Arial"/>
        </w:rPr>
        <w:t>III.A.2</w:t>
      </w:r>
      <w:r w:rsidR="000C7912">
        <w:rPr>
          <w:rFonts w:cs="Arial"/>
        </w:rPr>
        <w:t xml:space="preserve">, </w:t>
      </w:r>
      <w:r w:rsidR="0058133D">
        <w:rPr>
          <w:rFonts w:cs="Arial"/>
        </w:rPr>
        <w:t xml:space="preserve">Postal Service regulations </w:t>
      </w:r>
      <w:r w:rsidR="000C7912">
        <w:rPr>
          <w:rFonts w:cs="Arial"/>
        </w:rPr>
        <w:t xml:space="preserve">permit </w:t>
      </w:r>
      <w:r w:rsidR="00DB504A">
        <w:rPr>
          <w:rFonts w:cs="Arial"/>
        </w:rPr>
        <w:t xml:space="preserve">many </w:t>
      </w:r>
      <w:r w:rsidR="000C7912">
        <w:rPr>
          <w:rFonts w:cs="Arial"/>
        </w:rPr>
        <w:t xml:space="preserve">hazardous materials to be mailed </w:t>
      </w:r>
      <w:r w:rsidR="00DB504A">
        <w:rPr>
          <w:rFonts w:cs="Arial"/>
        </w:rPr>
        <w:t xml:space="preserve">pursuant </w:t>
      </w:r>
      <w:r w:rsidR="000C7912">
        <w:rPr>
          <w:rFonts w:cs="Arial"/>
        </w:rPr>
        <w:t>to specified precautions.</w:t>
      </w:r>
      <w:r w:rsidR="00950EF0">
        <w:rPr>
          <w:rFonts w:cs="Arial"/>
        </w:rPr>
        <w:t xml:space="preserve"> The precautions in existing regulations have </w:t>
      </w:r>
      <w:r w:rsidR="00F61AEC">
        <w:rPr>
          <w:rFonts w:cs="Arial"/>
        </w:rPr>
        <w:t xml:space="preserve">historically </w:t>
      </w:r>
      <w:r w:rsidR="00AF268E">
        <w:rPr>
          <w:rFonts w:cs="Arial"/>
        </w:rPr>
        <w:t xml:space="preserve">been deemed sufficient </w:t>
      </w:r>
      <w:r w:rsidR="0044421C">
        <w:rPr>
          <w:rFonts w:cs="Arial"/>
        </w:rPr>
        <w:t>to fulfill 18 U.S.C. 1716 for otherwise mailable shipments of ENDS products</w:t>
      </w:r>
      <w:r w:rsidR="002162B9">
        <w:rPr>
          <w:rFonts w:cs="Arial"/>
        </w:rPr>
        <w:t xml:space="preserve">; it has never been the case that otherwise mailable ENDS products were deemed </w:t>
      </w:r>
      <w:r w:rsidR="00C656D3">
        <w:rPr>
          <w:rFonts w:cs="Arial"/>
        </w:rPr>
        <w:t xml:space="preserve">so extraordinarily dangerous as to warrant </w:t>
      </w:r>
      <w:r w:rsidR="00E912C3">
        <w:rPr>
          <w:rFonts w:cs="Arial"/>
        </w:rPr>
        <w:t xml:space="preserve">outright prohibition </w:t>
      </w:r>
      <w:r w:rsidR="00C656D3">
        <w:rPr>
          <w:rFonts w:cs="Arial"/>
        </w:rPr>
        <w:t xml:space="preserve">in the face of lesser </w:t>
      </w:r>
      <w:r w:rsidR="008F7C45">
        <w:rPr>
          <w:rFonts w:cs="Arial"/>
        </w:rPr>
        <w:t xml:space="preserve">applicable </w:t>
      </w:r>
      <w:r w:rsidR="00E912C3">
        <w:rPr>
          <w:rFonts w:cs="Arial"/>
        </w:rPr>
        <w:t>hazardous-materials safeguards</w:t>
      </w:r>
      <w:r w:rsidR="00060C9E">
        <w:rPr>
          <w:rFonts w:cs="Arial"/>
        </w:rPr>
        <w:t>. W</w:t>
      </w:r>
      <w:r w:rsidR="009F61C4">
        <w:rPr>
          <w:rFonts w:cs="Arial"/>
        </w:rPr>
        <w:t xml:space="preserve">hile the scope of generally mailable ENDS products will now be </w:t>
      </w:r>
      <w:r w:rsidR="00793E22">
        <w:rPr>
          <w:rFonts w:cs="Arial"/>
        </w:rPr>
        <w:t xml:space="preserve">limited </w:t>
      </w:r>
      <w:r w:rsidR="009F61C4">
        <w:rPr>
          <w:rFonts w:cs="Arial"/>
        </w:rPr>
        <w:t xml:space="preserve">by the PACT Act’s exceptions, </w:t>
      </w:r>
      <w:r w:rsidR="00060C9E">
        <w:rPr>
          <w:rFonts w:cs="Arial"/>
        </w:rPr>
        <w:t>the Postal Service perceives no rational basis</w:t>
      </w:r>
      <w:r w:rsidR="00793E22">
        <w:rPr>
          <w:rFonts w:cs="Arial"/>
        </w:rPr>
        <w:t xml:space="preserve"> to </w:t>
      </w:r>
      <w:r w:rsidR="00A636C1">
        <w:rPr>
          <w:rFonts w:cs="Arial"/>
        </w:rPr>
        <w:t xml:space="preserve">upset </w:t>
      </w:r>
      <w:r w:rsidR="008F7C45">
        <w:rPr>
          <w:rFonts w:cs="Arial"/>
        </w:rPr>
        <w:t xml:space="preserve">the </w:t>
      </w:r>
      <w:r w:rsidR="00A636C1">
        <w:rPr>
          <w:rFonts w:cs="Arial"/>
        </w:rPr>
        <w:t xml:space="preserve">highly </w:t>
      </w:r>
      <w:r w:rsidR="00A943A6">
        <w:rPr>
          <w:rFonts w:cs="Arial"/>
        </w:rPr>
        <w:t>reticulated</w:t>
      </w:r>
      <w:r w:rsidR="00A636C1">
        <w:rPr>
          <w:rFonts w:cs="Arial"/>
        </w:rPr>
        <w:t xml:space="preserve"> harm-based framework for </w:t>
      </w:r>
      <w:r w:rsidR="00727FF4">
        <w:rPr>
          <w:rFonts w:cs="Arial"/>
        </w:rPr>
        <w:t>hazardous-materials regulation.</w:t>
      </w:r>
    </w:p>
    <w:p w14:paraId="2B4D7104" w14:textId="7097D2AD" w:rsidR="00A67480" w:rsidRDefault="003B787B" w:rsidP="00FD29E0">
      <w:pPr>
        <w:shd w:val="clear" w:color="auto" w:fill="FFFFFF"/>
        <w:ind w:firstLine="720"/>
      </w:pPr>
      <w:proofErr w:type="gramStart"/>
      <w:r>
        <w:t>In the course of</w:t>
      </w:r>
      <w:proofErr w:type="gramEnd"/>
      <w:r>
        <w:t xml:space="preserve"> its 18 U.S.C. 1716 argument, the same commenter raised policy concerns about use of the Business/Regulatory Purposes exception to evade state and local taxes. But 18 U.S.C. 1716 has nothing to do with tax collection or evasion. </w:t>
      </w:r>
      <w:r w:rsidR="00754C31">
        <w:t xml:space="preserve">Nor has Congress </w:t>
      </w:r>
      <w:r w:rsidR="006708BF">
        <w:t xml:space="preserve">specifically conditioned eligibility for </w:t>
      </w:r>
      <w:r w:rsidR="009A77DD">
        <w:t xml:space="preserve">the </w:t>
      </w:r>
      <w:r w:rsidR="009A77DD">
        <w:lastRenderedPageBreak/>
        <w:t>Business/Regulatory Purposes exception</w:t>
      </w:r>
      <w:r w:rsidR="006708BF">
        <w:t xml:space="preserve"> on any </w:t>
      </w:r>
      <w:proofErr w:type="gramStart"/>
      <w:r w:rsidR="006708BF">
        <w:t>particular standard</w:t>
      </w:r>
      <w:proofErr w:type="gramEnd"/>
      <w:r w:rsidR="006708BF">
        <w:t xml:space="preserve"> of tax compliance</w:t>
      </w:r>
      <w:r w:rsidR="007727C6">
        <w:t>, as it expressly did for the Consumer Testing exception</w:t>
      </w:r>
      <w:r w:rsidR="009A77DD">
        <w:t>. 18 U.S.C. 1716E(</w:t>
      </w:r>
      <w:r w:rsidR="002E147A">
        <w:t>b)(5)(A)(iv), (b)(5)(C)(ii)(III) (Consumer Testing exception).</w:t>
      </w:r>
      <w:r w:rsidR="00693378">
        <w:t xml:space="preserve"> </w:t>
      </w:r>
      <w:r w:rsidR="00762864">
        <w:t xml:space="preserve">Of course, noncompliance with </w:t>
      </w:r>
      <w:r w:rsidR="00735D5F">
        <w:t xml:space="preserve">applicable tax laws may </w:t>
      </w:r>
      <w:r w:rsidR="00762864">
        <w:t xml:space="preserve">subject a business to </w:t>
      </w:r>
      <w:r w:rsidR="004B237A">
        <w:t xml:space="preserve">penalties under other Federal, State, local, or </w:t>
      </w:r>
      <w:r w:rsidR="00363B60">
        <w:t>T</w:t>
      </w:r>
      <w:r w:rsidR="004B237A">
        <w:t>ribal laws. It may also</w:t>
      </w:r>
      <w:r w:rsidR="00762864">
        <w:t xml:space="preserve"> </w:t>
      </w:r>
      <w:r w:rsidR="00735D5F">
        <w:t xml:space="preserve">affect </w:t>
      </w:r>
      <w:r w:rsidR="007D002B">
        <w:t xml:space="preserve">the </w:t>
      </w:r>
      <w:r w:rsidR="00507A8C">
        <w:t xml:space="preserve">business’s ability to obtain relevant licenses or permits, which is a prerequisite for eligibility to use the Business/Regulatory Purposes exception. </w:t>
      </w:r>
      <w:r w:rsidR="00507A8C">
        <w:rPr>
          <w:i/>
          <w:iCs/>
        </w:rPr>
        <w:t>Id.</w:t>
      </w:r>
      <w:r w:rsidR="00507A8C">
        <w:t xml:space="preserve"> at (b)(3)(</w:t>
      </w:r>
      <w:r w:rsidR="00A6422B">
        <w:t>A)(i).</w:t>
      </w:r>
      <w:r w:rsidR="0071127C">
        <w:t xml:space="preserve"> Where </w:t>
      </w:r>
      <w:r w:rsidR="001660EF">
        <w:t xml:space="preserve">information may indicate </w:t>
      </w:r>
      <w:r w:rsidR="0071127C">
        <w:t xml:space="preserve">that </w:t>
      </w:r>
      <w:r w:rsidR="001660EF">
        <w:t xml:space="preserve">an entity that may be authorized to use the Business/Regulatory Purposes exception is not, in fact, operating </w:t>
      </w:r>
      <w:r w:rsidR="00267418">
        <w:t>lawfully</w:t>
      </w:r>
      <w:r w:rsidR="001660EF">
        <w:t xml:space="preserve">, </w:t>
      </w:r>
      <w:r w:rsidR="00267418">
        <w:t>all parties are encouraged to bring such information to the attention of the</w:t>
      </w:r>
      <w:r w:rsidR="00AF787C">
        <w:t xml:space="preserve"> Postal Inspection Service</w:t>
      </w:r>
      <w:r w:rsidR="00267418">
        <w:t>.</w:t>
      </w:r>
    </w:p>
    <w:p w14:paraId="0DFB68F4" w14:textId="4C80D305" w:rsidR="00460599" w:rsidRPr="00096E58" w:rsidRDefault="00460599" w:rsidP="00FD29E0">
      <w:pPr>
        <w:shd w:val="clear" w:color="auto" w:fill="FFFFFF"/>
        <w:ind w:firstLine="720"/>
      </w:pPr>
      <w:r>
        <w:t xml:space="preserve">Finally, a Federal agency partner sought clarification of whether the Business/Regulatory Purposes exception encompasses shipments </w:t>
      </w:r>
      <w:r w:rsidR="004000DF">
        <w:t xml:space="preserve">from </w:t>
      </w:r>
      <w:r>
        <w:t xml:space="preserve">businesses </w:t>
      </w:r>
      <w:r w:rsidR="004000DF">
        <w:t xml:space="preserve">to </w:t>
      </w:r>
      <w:r w:rsidR="00355AC6">
        <w:t xml:space="preserve">Federal regulatory </w:t>
      </w:r>
      <w:r w:rsidR="001F20B9">
        <w:t xml:space="preserve">agencies </w:t>
      </w:r>
      <w:r w:rsidR="004000DF">
        <w:t xml:space="preserve">and vice versa </w:t>
      </w:r>
      <w:r w:rsidR="001F20B9">
        <w:t xml:space="preserve">for </w:t>
      </w:r>
      <w:r w:rsidR="00067F85">
        <w:t xml:space="preserve">enforcement or investigational purposes. </w:t>
      </w:r>
      <w:r w:rsidR="00EE26E3">
        <w:t xml:space="preserve">The PACT Act permits use of the exception “for regulatory purposes </w:t>
      </w:r>
      <w:r w:rsidR="00EE26E3" w:rsidRPr="001F40E7">
        <w:rPr>
          <w:u w:val="single"/>
        </w:rPr>
        <w:t>between</w:t>
      </w:r>
      <w:r w:rsidR="00EE26E3">
        <w:t xml:space="preserve"> any [covered] business . . . and an agency of the Federal Government or a State government.” </w:t>
      </w:r>
      <w:r w:rsidR="00EE26E3">
        <w:rPr>
          <w:i/>
          <w:iCs/>
        </w:rPr>
        <w:t>Id.</w:t>
      </w:r>
      <w:r w:rsidR="00EE26E3">
        <w:t xml:space="preserve"> at (b)(3)(A)(ii)</w:t>
      </w:r>
      <w:r w:rsidR="00912D84">
        <w:t xml:space="preserve"> (emphasis added)</w:t>
      </w:r>
      <w:r w:rsidR="00EE26E3">
        <w:t xml:space="preserve">. </w:t>
      </w:r>
      <w:r w:rsidR="00912D84">
        <w:t xml:space="preserve">The word “between” plainly </w:t>
      </w:r>
      <w:r w:rsidR="004000DF">
        <w:t xml:space="preserve">denotes movement in either direction. See, e.g., </w:t>
      </w:r>
      <w:r w:rsidR="00096E58">
        <w:rPr>
          <w:i/>
          <w:iCs/>
        </w:rPr>
        <w:t>Atlas Aerospace LLC v. Advanced Transp., Inc.</w:t>
      </w:r>
      <w:r w:rsidR="00096E58">
        <w:t xml:space="preserve">, No. 12-1200-JWL, 2012 WL </w:t>
      </w:r>
      <w:r w:rsidR="006760BC">
        <w:t>5398027, at *1 (D. Kan. Nov. 2, 2012)</w:t>
      </w:r>
      <w:r w:rsidR="004B4F6E">
        <w:t xml:space="preserve">; Union Pacific Corp. et al., </w:t>
      </w:r>
      <w:r w:rsidR="00AC5D69">
        <w:t xml:space="preserve">2 S.T.B. 276, </w:t>
      </w:r>
      <w:r w:rsidR="00D20747">
        <w:t>280</w:t>
      </w:r>
      <w:r w:rsidR="00AC5D69">
        <w:t xml:space="preserve"> (1997)</w:t>
      </w:r>
      <w:r w:rsidR="000544DB">
        <w:t xml:space="preserve"> (“Citation is hardly necessary on this point.”)</w:t>
      </w:r>
      <w:r w:rsidR="006760BC">
        <w:t>.</w:t>
      </w:r>
      <w:r w:rsidR="00BB5609">
        <w:t xml:space="preserve"> It is further apparent that “regulatory purposes” </w:t>
      </w:r>
      <w:r w:rsidR="007D5E2C">
        <w:t xml:space="preserve">encompasses enforcement </w:t>
      </w:r>
      <w:r w:rsidR="00267418">
        <w:t xml:space="preserve">against </w:t>
      </w:r>
      <w:r w:rsidR="007D5E2C">
        <w:t>and investigation</w:t>
      </w:r>
      <w:r w:rsidR="00267418">
        <w:t xml:space="preserve"> of regulated entities</w:t>
      </w:r>
      <w:r w:rsidR="007D5E2C">
        <w:t>, among other governmental activities.</w:t>
      </w:r>
      <w:r w:rsidR="00C03281">
        <w:t xml:space="preserve"> </w:t>
      </w:r>
      <w:r w:rsidR="00C03281">
        <w:lastRenderedPageBreak/>
        <w:t xml:space="preserve">Therefore, shipments from a business to a Federal or State </w:t>
      </w:r>
      <w:r w:rsidR="00CC09F0">
        <w:t xml:space="preserve">governmental body and vice versa are within the ambit of the Business/Regulatory Purposes exception, </w:t>
      </w:r>
      <w:proofErr w:type="gramStart"/>
      <w:r w:rsidR="00CC09F0">
        <w:t>provided that</w:t>
      </w:r>
      <w:proofErr w:type="gramEnd"/>
      <w:r w:rsidR="00CC09F0">
        <w:t xml:space="preserve"> all of the other conditions for use of the exception are met.</w:t>
      </w:r>
    </w:p>
    <w:p w14:paraId="65002F1E" w14:textId="2BC34DBD" w:rsidR="00416CC2" w:rsidRPr="006F5D98" w:rsidRDefault="008708FA" w:rsidP="00FE6779">
      <w:pPr>
        <w:ind w:left="720" w:firstLine="720"/>
        <w:rPr>
          <w:bCs/>
        </w:rPr>
      </w:pPr>
      <w:r w:rsidRPr="00FE6779">
        <w:rPr>
          <w:b/>
          <w:bCs/>
        </w:rPr>
        <w:t>2.</w:t>
      </w:r>
      <w:r w:rsidRPr="00FE6779">
        <w:rPr>
          <w:b/>
          <w:bCs/>
        </w:rPr>
        <w:tab/>
      </w:r>
      <w:bookmarkStart w:id="33" w:name="_Toc79569818"/>
      <w:r w:rsidR="00416CC2" w:rsidRPr="00FE6779">
        <w:rPr>
          <w:b/>
          <w:bCs/>
        </w:rPr>
        <w:t>Eligible Parties</w:t>
      </w:r>
      <w:bookmarkEnd w:id="33"/>
    </w:p>
    <w:p w14:paraId="58023AF8" w14:textId="463C203C" w:rsidR="00416CC2" w:rsidRDefault="004827E8" w:rsidP="002E79EB">
      <w:pPr>
        <w:ind w:firstLine="720"/>
      </w:pPr>
      <w:r>
        <w:t>T</w:t>
      </w:r>
      <w:r w:rsidR="00630CEF">
        <w:t>he Business/Regulatory Purposes exception</w:t>
      </w:r>
      <w:r w:rsidR="00A04863">
        <w:t xml:space="preserve"> </w:t>
      </w:r>
      <w:r>
        <w:t xml:space="preserve">permits shipments of </w:t>
      </w:r>
      <w:r w:rsidR="003978DE">
        <w:t>PACT Act–</w:t>
      </w:r>
      <w:r>
        <w:t xml:space="preserve">covered products between </w:t>
      </w:r>
      <w:r w:rsidR="003F7519">
        <w:t>“</w:t>
      </w:r>
      <w:r w:rsidR="003F7519" w:rsidRPr="003F7519">
        <w:t>legally operating businesses that have all applicable State and Federal Government licenses or permits and are engaged in tobacco product manufacturing, distribution, wholesale, export, import, testing, investigation, or research</w:t>
      </w:r>
      <w:r w:rsidR="003F7519">
        <w:t>”</w:t>
      </w:r>
      <w:r>
        <w:t xml:space="preserve"> and between such businesses and Federal or State government agencies. 18 U.S.C. 1716E(b)(</w:t>
      </w:r>
      <w:r w:rsidR="00283C4C">
        <w:t>3)(A)(i)</w:t>
      </w:r>
      <w:r w:rsidR="00BB79B5">
        <w:t>–</w:t>
      </w:r>
      <w:r w:rsidR="00283C4C">
        <w:t>(ii).</w:t>
      </w:r>
    </w:p>
    <w:p w14:paraId="3E4EF3C8" w14:textId="601982F7" w:rsidR="00283C4C" w:rsidRPr="00840180" w:rsidRDefault="009B03F8" w:rsidP="002E79EB">
      <w:pPr>
        <w:ind w:firstLine="720"/>
      </w:pPr>
      <w:proofErr w:type="gramStart"/>
      <w:r>
        <w:t>A number of</w:t>
      </w:r>
      <w:proofErr w:type="gramEnd"/>
      <w:r>
        <w:t xml:space="preserve"> ENDS industry commenters </w:t>
      </w:r>
      <w:r w:rsidR="000238E5">
        <w:t>opined that “businesses . . . engaged in</w:t>
      </w:r>
      <w:r w:rsidR="00D400DA">
        <w:t xml:space="preserve"> . . .</w:t>
      </w:r>
      <w:r w:rsidR="00AD27CC">
        <w:t xml:space="preserve"> </w:t>
      </w:r>
      <w:r w:rsidR="000238E5">
        <w:t xml:space="preserve">distribution” should be understood to include </w:t>
      </w:r>
      <w:r w:rsidR="00D400DA">
        <w:t xml:space="preserve">retailers, common carriers, and contract delivery services. This </w:t>
      </w:r>
      <w:r w:rsidR="00AC2197">
        <w:t xml:space="preserve">interpretation </w:t>
      </w:r>
      <w:r w:rsidR="00D400DA">
        <w:t xml:space="preserve">accords with the Postal Service’s </w:t>
      </w:r>
      <w:r w:rsidR="00CA1FD5">
        <w:t xml:space="preserve">longstanding practice in applying </w:t>
      </w:r>
      <w:r w:rsidR="00D400DA">
        <w:t>the statutory term</w:t>
      </w:r>
      <w:r w:rsidR="00631347">
        <w:t xml:space="preserve">, as well as with dictionary and </w:t>
      </w:r>
      <w:r w:rsidR="003030AD">
        <w:t xml:space="preserve">related statutory definitions. </w:t>
      </w:r>
      <w:r w:rsidR="003030AD" w:rsidRPr="00AF27CF">
        <w:t>See, e.g.</w:t>
      </w:r>
      <w:r w:rsidR="003030AD">
        <w:t xml:space="preserve">, </w:t>
      </w:r>
      <w:r w:rsidR="005D28CF">
        <w:t>D</w:t>
      </w:r>
      <w:r w:rsidR="003030AD">
        <w:t>istribute, Black’s Law Dictionary (11th ed</w:t>
      </w:r>
      <w:r w:rsidR="003030AD" w:rsidRPr="009B6A7B">
        <w:t>. 2015) (</w:t>
      </w:r>
      <w:r w:rsidR="0037535D" w:rsidRPr="009B6A7B">
        <w:t>“3. To deliver.”</w:t>
      </w:r>
      <w:r w:rsidR="003030AD" w:rsidRPr="009B6A7B">
        <w:t xml:space="preserve">); </w:t>
      </w:r>
      <w:r w:rsidR="005D28CF" w:rsidRPr="009B6A7B">
        <w:t>D</w:t>
      </w:r>
      <w:r w:rsidR="0037535D" w:rsidRPr="009B6A7B">
        <w:t>istribute, Merriam-Webster</w:t>
      </w:r>
      <w:r w:rsidR="004F3611" w:rsidRPr="009B6A7B">
        <w:t>.com (</w:t>
      </w:r>
      <w:r w:rsidR="004F3611" w:rsidRPr="003C4794">
        <w:t xml:space="preserve">last visited </w:t>
      </w:r>
      <w:r w:rsidR="009B6A7B" w:rsidRPr="003C4794">
        <w:t>Oct. 14</w:t>
      </w:r>
      <w:r w:rsidR="004F3611" w:rsidRPr="003C4794">
        <w:t>, 2021</w:t>
      </w:r>
      <w:r w:rsidR="004F3611" w:rsidRPr="009B6A7B">
        <w:t>) (</w:t>
      </w:r>
      <w:r w:rsidR="006B4B35" w:rsidRPr="009B6A7B">
        <w:t>“2b: to give out or deliver especially to members of a group”</w:t>
      </w:r>
      <w:r w:rsidR="004F3611" w:rsidRPr="009B6A7B">
        <w:t>)</w:t>
      </w:r>
      <w:r w:rsidR="006B4B35" w:rsidRPr="009B6A7B">
        <w:t xml:space="preserve">; cf. </w:t>
      </w:r>
      <w:r w:rsidR="00414169" w:rsidRPr="009B6A7B">
        <w:t>21 U.S.</w:t>
      </w:r>
      <w:r w:rsidR="00414169">
        <w:t xml:space="preserve">C. 802(8), (11) (distribution of a controlled substance </w:t>
      </w:r>
      <w:r w:rsidR="009E599A">
        <w:t xml:space="preserve">or listed chemical </w:t>
      </w:r>
      <w:r w:rsidR="006604A2">
        <w:t xml:space="preserve">generally means </w:t>
      </w:r>
      <w:r w:rsidR="009E599A">
        <w:t>transfe</w:t>
      </w:r>
      <w:r w:rsidR="00554E7B">
        <w:t>r</w:t>
      </w:r>
      <w:r w:rsidR="005877F1">
        <w:t xml:space="preserve"> between parties</w:t>
      </w:r>
      <w:r w:rsidR="00554E7B">
        <w:t>).</w:t>
      </w:r>
      <w:r w:rsidR="005877F1">
        <w:t xml:space="preserve"> Because the Postal Service considers this </w:t>
      </w:r>
      <w:r w:rsidR="00DD503F">
        <w:t>meaning to be plain from the statutory term, there does not appear to be a basis to deviate from or elaborate upon the statutory language.</w:t>
      </w:r>
      <w:r w:rsidR="00C4048F">
        <w:t xml:space="preserve"> It </w:t>
      </w:r>
      <w:r w:rsidR="0011553C">
        <w:t xml:space="preserve">is emphasized </w:t>
      </w:r>
      <w:r w:rsidR="00C4048F">
        <w:t xml:space="preserve">that </w:t>
      </w:r>
      <w:r w:rsidR="00840180">
        <w:t xml:space="preserve">the </w:t>
      </w:r>
      <w:r w:rsidR="00184CED">
        <w:t xml:space="preserve">statutory </w:t>
      </w:r>
      <w:r w:rsidR="00840180">
        <w:t xml:space="preserve">Business/Regulatory Purposes exception permits </w:t>
      </w:r>
      <w:r w:rsidR="00840180">
        <w:lastRenderedPageBreak/>
        <w:t xml:space="preserve">shipments </w:t>
      </w:r>
      <w:r w:rsidR="00882852">
        <w:t xml:space="preserve">between </w:t>
      </w:r>
      <w:r w:rsidR="00840180">
        <w:t>a retail or other distributor an</w:t>
      </w:r>
      <w:r w:rsidR="00882852">
        <w:t xml:space="preserve">d another industry </w:t>
      </w:r>
      <w:r w:rsidR="00206871">
        <w:t xml:space="preserve">business </w:t>
      </w:r>
      <w:r w:rsidR="00882852">
        <w:t>or regulator</w:t>
      </w:r>
      <w:r w:rsidR="00840180">
        <w:t xml:space="preserve">, but </w:t>
      </w:r>
      <w:r w:rsidR="00882852">
        <w:t xml:space="preserve">not </w:t>
      </w:r>
      <w:r w:rsidR="0011553C">
        <w:t>a</w:t>
      </w:r>
      <w:r w:rsidR="00206871">
        <w:t xml:space="preserve"> distributor’s</w:t>
      </w:r>
      <w:r w:rsidR="00531317">
        <w:t xml:space="preserve"> (or any other entity’s) direct</w:t>
      </w:r>
      <w:r w:rsidR="00206871">
        <w:t xml:space="preserve"> </w:t>
      </w:r>
      <w:r w:rsidR="00882852">
        <w:t xml:space="preserve">shipments </w:t>
      </w:r>
      <w:r w:rsidR="00206871">
        <w:t>to consumers</w:t>
      </w:r>
      <w:r w:rsidR="00882852">
        <w:t>.</w:t>
      </w:r>
      <w:r w:rsidR="009234A8">
        <w:t xml:space="preserve"> The measures discussed in </w:t>
      </w:r>
      <w:r w:rsidR="00184CED">
        <w:t xml:space="preserve">sections </w:t>
      </w:r>
      <w:r w:rsidR="00184CED" w:rsidRPr="0022072C">
        <w:t>III.G.3–</w:t>
      </w:r>
      <w:r w:rsidR="00D209E8" w:rsidRPr="0022072C">
        <w:t>.</w:t>
      </w:r>
      <w:r w:rsidR="00F22DDE" w:rsidRPr="0022072C">
        <w:t>7</w:t>
      </w:r>
      <w:r w:rsidR="00184CED">
        <w:t xml:space="preserve"> are designed to </w:t>
      </w:r>
      <w:r w:rsidR="002A5FC4">
        <w:t xml:space="preserve">ensure that the Business/Regulatory Purposes exception is used only for eligible business-to-business or business-to-government shipments </w:t>
      </w:r>
      <w:r w:rsidR="002E4E22">
        <w:t>and not for shipments to or from ineligible parties, including retail consumers.</w:t>
      </w:r>
    </w:p>
    <w:p w14:paraId="3EA526FC" w14:textId="12549C34" w:rsidR="00CB383A" w:rsidRDefault="0014637D" w:rsidP="002E79EB">
      <w:pPr>
        <w:ind w:firstLine="720"/>
      </w:pPr>
      <w:r>
        <w:t xml:space="preserve">An ENDS industry association </w:t>
      </w:r>
      <w:r w:rsidR="00181AD3">
        <w:t xml:space="preserve">proposed to clarify that “testing, investigation, or research” includes contracted research organizations and laboratories. </w:t>
      </w:r>
      <w:r w:rsidR="00ED02F5">
        <w:t xml:space="preserve">It </w:t>
      </w:r>
      <w:r w:rsidR="00AD27CC">
        <w:t xml:space="preserve">seems </w:t>
      </w:r>
      <w:r w:rsidR="00ED02F5">
        <w:t xml:space="preserve">self-evident that </w:t>
      </w:r>
      <w:r w:rsidR="00AD27CC">
        <w:t>such entities</w:t>
      </w:r>
      <w:r w:rsidR="009F36E6">
        <w:t xml:space="preserve"> would be covered, to the extent that they</w:t>
      </w:r>
      <w:r w:rsidR="00AD27CC">
        <w:t xml:space="preserve"> are “engaged in . . . </w:t>
      </w:r>
      <w:r w:rsidR="00900B6B">
        <w:t>testing, investigation, or research”</w:t>
      </w:r>
      <w:r w:rsidR="009F36E6">
        <w:t xml:space="preserve"> </w:t>
      </w:r>
      <w:r w:rsidR="00B42F19">
        <w:t xml:space="preserve">as to </w:t>
      </w:r>
      <w:r w:rsidR="003978DE">
        <w:t>PACT Act–</w:t>
      </w:r>
      <w:r w:rsidR="00B42F19">
        <w:t>covered products;</w:t>
      </w:r>
      <w:r w:rsidR="00900B6B">
        <w:t xml:space="preserve"> the statute provides no basis for distinction according to such entities’ contractual relationships. Here, too, the Postal Service regards the </w:t>
      </w:r>
      <w:r w:rsidR="001D773D">
        <w:t>statutory language as sufficient</w:t>
      </w:r>
      <w:r w:rsidR="00091973">
        <w:t>ly</w:t>
      </w:r>
      <w:r w:rsidR="001D773D">
        <w:t xml:space="preserve"> clear in encompassing the relevant entities, without further elaboration.</w:t>
      </w:r>
      <w:r w:rsidR="00944787">
        <w:t xml:space="preserve"> While the statute does not appear to preclude eligibility for such parties</w:t>
      </w:r>
      <w:r w:rsidR="005E42DA">
        <w:t xml:space="preserve"> generally</w:t>
      </w:r>
      <w:r w:rsidR="00944787">
        <w:t xml:space="preserve">, </w:t>
      </w:r>
      <w:r w:rsidR="00B42F19">
        <w:t xml:space="preserve">verification </w:t>
      </w:r>
      <w:r w:rsidR="00944787">
        <w:t xml:space="preserve">of any </w:t>
      </w:r>
      <w:proofErr w:type="gramStart"/>
      <w:r w:rsidR="00944787">
        <w:t xml:space="preserve">particular </w:t>
      </w:r>
      <w:r w:rsidR="005E42DA">
        <w:t>research</w:t>
      </w:r>
      <w:proofErr w:type="gramEnd"/>
      <w:r w:rsidR="005E42DA">
        <w:t xml:space="preserve"> organization or laboratory</w:t>
      </w:r>
      <w:r w:rsidR="00B42F19">
        <w:t>’s eligibility</w:t>
      </w:r>
      <w:r w:rsidR="005E42DA">
        <w:t xml:space="preserve"> </w:t>
      </w:r>
      <w:r w:rsidR="0082090A">
        <w:t>will involve a case-specific determination based on the documentation submitted with the relevant application</w:t>
      </w:r>
      <w:r w:rsidR="00700AD7">
        <w:t>.</w:t>
      </w:r>
    </w:p>
    <w:p w14:paraId="5E7542BF" w14:textId="077EC6AD" w:rsidR="001D773D" w:rsidRDefault="00172256" w:rsidP="002E79EB">
      <w:pPr>
        <w:ind w:firstLine="720"/>
      </w:pPr>
      <w:r>
        <w:t xml:space="preserve">The same ENDS industry association asked that marketing firms be </w:t>
      </w:r>
      <w:r w:rsidR="008673BE">
        <w:t xml:space="preserve">treated as eligible. </w:t>
      </w:r>
      <w:r w:rsidR="00700AD7">
        <w:t>The PACT Act does not appear to permit such treatment</w:t>
      </w:r>
      <w:r w:rsidR="008673BE">
        <w:t>. None of the categories of business activit</w:t>
      </w:r>
      <w:r w:rsidR="003A1765">
        <w:t>y</w:t>
      </w:r>
      <w:r w:rsidR="008673BE">
        <w:t xml:space="preserve"> enumerated in the statute encompasses marketing or related activities</w:t>
      </w:r>
      <w:r w:rsidR="00866F41">
        <w:t>, such as advertising</w:t>
      </w:r>
      <w:r w:rsidR="001A7FD0">
        <w:t xml:space="preserve"> or</w:t>
      </w:r>
      <w:r w:rsidR="00866F41">
        <w:t xml:space="preserve"> promotion</w:t>
      </w:r>
      <w:r w:rsidR="008673BE">
        <w:t>.</w:t>
      </w:r>
      <w:r w:rsidR="00DD569D">
        <w:t xml:space="preserve"> Nor does the statute extend eligibility to agents of enumerated businesses</w:t>
      </w:r>
      <w:r w:rsidR="00700AD7">
        <w:t xml:space="preserve">, in </w:t>
      </w:r>
      <w:r w:rsidR="00700AD7">
        <w:lastRenderedPageBreak/>
        <w:t>contrast to the Consumer Testing exception</w:t>
      </w:r>
      <w:r w:rsidR="00DD569D">
        <w:t>.</w:t>
      </w:r>
      <w:r w:rsidR="00AF6C34">
        <w:t xml:space="preserve"> </w:t>
      </w:r>
      <w:r w:rsidR="00AF6C34" w:rsidRPr="00AF27CF">
        <w:t>Cf.</w:t>
      </w:r>
      <w:r w:rsidR="00AF6C34">
        <w:t xml:space="preserve"> 18 U.S.C. 1716E(b)(5)(A)</w:t>
      </w:r>
      <w:r w:rsidR="00B3469A">
        <w:t>.</w:t>
      </w:r>
      <w:r w:rsidR="00866F41">
        <w:t xml:space="preserve"> </w:t>
      </w:r>
      <w:r w:rsidR="001A7FD0">
        <w:t xml:space="preserve">As an exception to a general </w:t>
      </w:r>
      <w:r w:rsidR="000E049A">
        <w:t>policy of nonmailability</w:t>
      </w:r>
      <w:r w:rsidR="001A7FD0">
        <w:t xml:space="preserve">, the Business/Regulatory Purposes exception </w:t>
      </w:r>
      <w:r w:rsidR="000E049A">
        <w:t>merits narrow construction</w:t>
      </w:r>
      <w:r w:rsidR="001A7FD0">
        <w:t xml:space="preserve">. </w:t>
      </w:r>
      <w:r w:rsidR="00B37C94" w:rsidRPr="00AF27CF">
        <w:t>See, e.g.</w:t>
      </w:r>
      <w:r w:rsidR="00B37C94">
        <w:t xml:space="preserve">, </w:t>
      </w:r>
      <w:proofErr w:type="spellStart"/>
      <w:r w:rsidR="00697F5C">
        <w:rPr>
          <w:i/>
          <w:iCs/>
        </w:rPr>
        <w:t>Maracich</w:t>
      </w:r>
      <w:proofErr w:type="spellEnd"/>
      <w:r w:rsidR="00697F5C">
        <w:rPr>
          <w:i/>
          <w:iCs/>
        </w:rPr>
        <w:t xml:space="preserve"> v. Spears</w:t>
      </w:r>
      <w:r w:rsidR="00697F5C">
        <w:t xml:space="preserve">, </w:t>
      </w:r>
      <w:r w:rsidR="000E049A">
        <w:t xml:space="preserve">570 U.S. 48, </w:t>
      </w:r>
      <w:r w:rsidR="004B1B15">
        <w:t xml:space="preserve">60 (2013) (quoting </w:t>
      </w:r>
      <w:r w:rsidR="004B1B15">
        <w:rPr>
          <w:i/>
          <w:iCs/>
        </w:rPr>
        <w:t>Comm’r v. Clark</w:t>
      </w:r>
      <w:r w:rsidR="004B1B15">
        <w:t>, 489 U.S. 726, 739 (1989)).</w:t>
      </w:r>
      <w:r w:rsidR="00807D3B">
        <w:t xml:space="preserve"> </w:t>
      </w:r>
      <w:r w:rsidR="00483BE7">
        <w:t>T</w:t>
      </w:r>
      <w:r w:rsidR="0002799D">
        <w:t xml:space="preserve">he </w:t>
      </w:r>
      <w:r w:rsidR="00CE581A">
        <w:t>PACT Act</w:t>
      </w:r>
      <w:r w:rsidR="0002799D">
        <w:t xml:space="preserve"> delegates </w:t>
      </w:r>
      <w:r w:rsidR="006F0720">
        <w:t>to the Postal Service only the authority to “establish the standards and requirements</w:t>
      </w:r>
      <w:r w:rsidR="00F96461">
        <w:t xml:space="preserve"> that apply to all mailings” defined by the statutory criteria</w:t>
      </w:r>
      <w:r w:rsidR="00483BE7">
        <w:t xml:space="preserve"> for the Business/Regulatory Purposes exception, 18 U.S.C. 1716(b)(3)(B)(i)</w:t>
      </w:r>
      <w:r w:rsidR="00F96461">
        <w:t xml:space="preserve">, </w:t>
      </w:r>
      <w:r w:rsidR="00D7547F">
        <w:t xml:space="preserve">and the POSECCA permits the Postal Service only to “clarify the applicability” of the PACT Act’s prohibition (and, by implication, its exceptions). POSECCA section 603(a). As discussed in section </w:t>
      </w:r>
      <w:r w:rsidR="00D7547F" w:rsidRPr="0022072C">
        <w:t>III.A.1</w:t>
      </w:r>
      <w:r w:rsidR="00D7547F">
        <w:t xml:space="preserve">, neither statute permits the Postal Service </w:t>
      </w:r>
      <w:r w:rsidR="00F96461">
        <w:t xml:space="preserve">to modify those criteria themselves. As such, the Postal Service lacks any </w:t>
      </w:r>
      <w:r w:rsidR="003E4E59">
        <w:t xml:space="preserve">authority or </w:t>
      </w:r>
      <w:r w:rsidR="00F96461">
        <w:t>basis to add businesses engaged in marketing to the roster of eligible entities.</w:t>
      </w:r>
    </w:p>
    <w:p w14:paraId="04EE7BA6" w14:textId="25989358" w:rsidR="003E4E59" w:rsidRDefault="006D7AAF" w:rsidP="002E79EB">
      <w:pPr>
        <w:ind w:firstLine="720"/>
      </w:pPr>
      <w:r>
        <w:t xml:space="preserve">An ENDS manufacturer asserted that licensed independent mystery-shopper contractors should count as </w:t>
      </w:r>
      <w:r w:rsidR="00837442">
        <w:t xml:space="preserve">entities “engaged in . . . testing, investigation, or research.” </w:t>
      </w:r>
      <w:r w:rsidR="00DC2E03">
        <w:t xml:space="preserve">To the extent that such a contractor is a business entity, then </w:t>
      </w:r>
      <w:r w:rsidR="00D7547F">
        <w:t>it</w:t>
      </w:r>
      <w:r w:rsidR="00DC2E03">
        <w:t xml:space="preserve"> could </w:t>
      </w:r>
      <w:r w:rsidR="00280A00">
        <w:t xml:space="preserve">potentially </w:t>
      </w:r>
      <w:r w:rsidR="00CB59CB">
        <w:t>come within the scope of the exception</w:t>
      </w:r>
      <w:r w:rsidR="00280A00">
        <w:t xml:space="preserve">, depending on </w:t>
      </w:r>
      <w:r w:rsidR="00D61ADC">
        <w:t>the Postal Service’s assessment of the documentation submitted with the relevant application</w:t>
      </w:r>
      <w:r w:rsidR="00CB59CB">
        <w:t>. To the extent that the contractor is an individual</w:t>
      </w:r>
      <w:r w:rsidR="00BD2CE6">
        <w:t xml:space="preserve"> tester, however, then it would appear to fall outside of the scope of the exception, which </w:t>
      </w:r>
      <w:r w:rsidR="001B6B7B">
        <w:t xml:space="preserve">is restricted to “legally operating businesses that have all applicable State and Federal Government licenses or permits.” Rather, </w:t>
      </w:r>
      <w:r w:rsidR="005269AE">
        <w:t xml:space="preserve">shipments from businesses to individual testers would appear to be akin to the shipments governed by the </w:t>
      </w:r>
      <w:r w:rsidR="005269AE">
        <w:lastRenderedPageBreak/>
        <w:t xml:space="preserve">Consumer Testing and Public Health exceptions, </w:t>
      </w:r>
      <w:r w:rsidR="00D46795">
        <w:t>which Congress narrowly circumscribed and</w:t>
      </w:r>
      <w:r w:rsidR="00343590">
        <w:t xml:space="preserve">, as discussed in section </w:t>
      </w:r>
      <w:r w:rsidR="00343590" w:rsidRPr="0022072C">
        <w:t>III.I</w:t>
      </w:r>
      <w:r w:rsidR="00343590">
        <w:t>,</w:t>
      </w:r>
      <w:r w:rsidR="00D46795">
        <w:t xml:space="preserve"> did not make available for ENDS products in any event. To the extent that individual testers may wish to send ENDS products to </w:t>
      </w:r>
      <w:r w:rsidR="00167584">
        <w:t>a manufacturer, testing firm, or other entity, these shipments would fall within the scope of the Certain Individuals exception, subject to the relevant criteria and limitations.</w:t>
      </w:r>
    </w:p>
    <w:p w14:paraId="0E0A8C60" w14:textId="55156AB7" w:rsidR="00333F48" w:rsidRDefault="00333F48" w:rsidP="002E79EB">
      <w:pPr>
        <w:ind w:firstLine="720"/>
      </w:pPr>
      <w:r>
        <w:t xml:space="preserve">The same manufacturer inquired whether </w:t>
      </w:r>
      <w:r w:rsidR="00231550">
        <w:t xml:space="preserve">“between legally operating businesses” would be construed to include </w:t>
      </w:r>
      <w:r>
        <w:t>shipments between two offices of the same eligible firm</w:t>
      </w:r>
      <w:r w:rsidR="00FA0379">
        <w:t xml:space="preserve">, </w:t>
      </w:r>
      <w:r w:rsidR="002A0B7B">
        <w:t xml:space="preserve">in addition to </w:t>
      </w:r>
      <w:r w:rsidR="00231550">
        <w:t xml:space="preserve">shipments between </w:t>
      </w:r>
      <w:r w:rsidR="00FA0379">
        <w:t xml:space="preserve">separate </w:t>
      </w:r>
      <w:r w:rsidR="002A0B7B">
        <w:t>firms</w:t>
      </w:r>
      <w:r w:rsidR="00FA0379">
        <w:t>.</w:t>
      </w:r>
      <w:r w:rsidR="009B5EA7">
        <w:t xml:space="preserve"> The Postal Service agrees that this </w:t>
      </w:r>
      <w:r w:rsidR="003510B5">
        <w:t xml:space="preserve">construction makes sense, provided that all relevant intra-firm sender and recipient </w:t>
      </w:r>
      <w:r w:rsidR="009F3537">
        <w:t xml:space="preserve">addresses </w:t>
      </w:r>
      <w:r w:rsidR="003510B5">
        <w:t xml:space="preserve">are listed in the firm’s application and approved by the Postal Service. Indeed, it </w:t>
      </w:r>
      <w:r w:rsidR="009B5A9A">
        <w:t xml:space="preserve">is difficult to conceive of </w:t>
      </w:r>
      <w:r w:rsidR="00B8488A">
        <w:t xml:space="preserve">why Congress would </w:t>
      </w:r>
      <w:r w:rsidR="00D87AE5">
        <w:t>permit shipments between duly authorized facilities of separate firms</w:t>
      </w:r>
      <w:r w:rsidR="00C479B1">
        <w:t>,</w:t>
      </w:r>
      <w:r w:rsidR="00D87AE5">
        <w:t xml:space="preserve"> </w:t>
      </w:r>
      <w:r w:rsidR="00C479B1">
        <w:t xml:space="preserve">while </w:t>
      </w:r>
      <w:r w:rsidR="00655163">
        <w:t>prohibit</w:t>
      </w:r>
      <w:r w:rsidR="00C479B1">
        <w:t>ing</w:t>
      </w:r>
      <w:r w:rsidR="00655163">
        <w:t xml:space="preserve"> them between identical facilities that happen to be within the same corporate structure.</w:t>
      </w:r>
      <w:r w:rsidR="003510B5">
        <w:t xml:space="preserve"> </w:t>
      </w:r>
      <w:r w:rsidR="00655163">
        <w:t>This understanding accords with the Postal Service’s historical practice in administering the exception</w:t>
      </w:r>
      <w:r w:rsidR="00CF3C5C">
        <w:t xml:space="preserve"> prior to the POSECCA.</w:t>
      </w:r>
    </w:p>
    <w:p w14:paraId="5C5A6695" w14:textId="69596F28" w:rsidR="00D91120" w:rsidRDefault="005C221B" w:rsidP="002E79EB">
      <w:pPr>
        <w:ind w:firstLine="720"/>
      </w:pPr>
      <w:r>
        <w:t xml:space="preserve">Certain pro-ENDS commenters </w:t>
      </w:r>
      <w:r w:rsidR="00FD2E09">
        <w:t xml:space="preserve">suggested that the Business/Regulatory Purposes exception could be used to </w:t>
      </w:r>
      <w:r w:rsidR="00946465">
        <w:t xml:space="preserve">facilitate the return of ENDS products from consumers to businesses. </w:t>
      </w:r>
      <w:r w:rsidR="00717513">
        <w:t>The PACT Act does not permit this</w:t>
      </w:r>
      <w:r w:rsidR="005B309B">
        <w:t xml:space="preserve"> use of the Business/Regulatory Purposes exception</w:t>
      </w:r>
      <w:r w:rsidR="007D168A">
        <w:t>. E</w:t>
      </w:r>
      <w:r w:rsidR="00717513">
        <w:t xml:space="preserve">ligibility for the Business/Regulatory Purposes exception is restricted to shipments between </w:t>
      </w:r>
      <w:r w:rsidR="007D168A">
        <w:t xml:space="preserve">eligible </w:t>
      </w:r>
      <w:r w:rsidR="00717513">
        <w:t xml:space="preserve">businesses </w:t>
      </w:r>
      <w:r w:rsidR="00400DE2">
        <w:t xml:space="preserve">or between </w:t>
      </w:r>
      <w:r w:rsidR="007D168A">
        <w:t xml:space="preserve">such </w:t>
      </w:r>
      <w:r w:rsidR="00400DE2">
        <w:t xml:space="preserve">businesses and </w:t>
      </w:r>
      <w:r w:rsidR="007D168A">
        <w:t xml:space="preserve">Federal or State government agencies. By contrast, 18 U.S.C. 1716E(b)(3) does not contain any indication of </w:t>
      </w:r>
      <w:r w:rsidR="001A7577">
        <w:t xml:space="preserve">legislative </w:t>
      </w:r>
      <w:r w:rsidR="001A7577">
        <w:lastRenderedPageBreak/>
        <w:t>intent to encompass shipments either to or from individual consumers. That said, business-to-business product returns</w:t>
      </w:r>
      <w:r w:rsidR="00BF3AAE">
        <w:t xml:space="preserve"> and recycling- or reuse-related shipments</w:t>
      </w:r>
      <w:r w:rsidR="001A7577">
        <w:t xml:space="preserve"> may be permissible between eligible and approved businesses</w:t>
      </w:r>
      <w:r w:rsidR="00C25DB9">
        <w:t xml:space="preserve">, and consumer-to-business </w:t>
      </w:r>
      <w:r w:rsidR="00BF3AAE">
        <w:t>shipments for such purposes</w:t>
      </w:r>
      <w:r w:rsidR="00C25DB9">
        <w:t xml:space="preserve"> may be permissible under the Certain Individuals exception, as discussed in section </w:t>
      </w:r>
      <w:r w:rsidR="00C25DB9" w:rsidRPr="0022072C">
        <w:t>III.H</w:t>
      </w:r>
      <w:r w:rsidR="00C25DB9">
        <w:t>.</w:t>
      </w:r>
    </w:p>
    <w:p w14:paraId="5D7CBD2F" w14:textId="58BAABF1" w:rsidR="00C25DB9" w:rsidRDefault="00096EE0" w:rsidP="002E79EB">
      <w:pPr>
        <w:ind w:firstLine="720"/>
      </w:pPr>
      <w:r>
        <w:t xml:space="preserve">State and local attorneys general </w:t>
      </w:r>
      <w:r w:rsidR="00311238">
        <w:t>opine</w:t>
      </w:r>
      <w:r w:rsidR="00197038">
        <w:t>d</w:t>
      </w:r>
      <w:r w:rsidR="00311238">
        <w:t xml:space="preserve"> that a business’s status as “legally operating” implies </w:t>
      </w:r>
      <w:r w:rsidR="00AB7575">
        <w:t xml:space="preserve">compliance with all pertinent laws, and that a business does not qualify as “legally operating” for purposes of the Business/Regulatory Purposes exception if </w:t>
      </w:r>
      <w:r w:rsidR="006E784C">
        <w:t xml:space="preserve">it markets products that are counterfeit, </w:t>
      </w:r>
      <w:r w:rsidR="00A04CE7">
        <w:t xml:space="preserve">that are </w:t>
      </w:r>
      <w:r w:rsidR="00FD7669">
        <w:t xml:space="preserve">not the subject of a timely premarket application to the FDA, or </w:t>
      </w:r>
      <w:r w:rsidR="00A04CE7">
        <w:t xml:space="preserve">that are </w:t>
      </w:r>
      <w:r w:rsidR="00FD7669">
        <w:t xml:space="preserve">otherwise inconsistent with applicable law. </w:t>
      </w:r>
      <w:r w:rsidR="000856B0">
        <w:t>The Postal Service agrees that all mailers must comply with all applicable laws</w:t>
      </w:r>
      <w:r w:rsidR="002D66D3">
        <w:t xml:space="preserve"> with respect to products that they mail, and that a pattern of violations may </w:t>
      </w:r>
      <w:r w:rsidR="00434636">
        <w:t xml:space="preserve">rise to a level where </w:t>
      </w:r>
      <w:r w:rsidR="009A2AEC">
        <w:t xml:space="preserve">a business </w:t>
      </w:r>
      <w:r w:rsidR="008128C1">
        <w:t xml:space="preserve">may </w:t>
      </w:r>
      <w:r w:rsidR="009A2AEC">
        <w:t xml:space="preserve">no longer be considered “legally operating.” </w:t>
      </w:r>
      <w:r w:rsidR="00A806A3">
        <w:t xml:space="preserve">It seems equally apparent, however, that </w:t>
      </w:r>
      <w:r w:rsidR="003F5378">
        <w:t xml:space="preserve">a business may violate a law with respect to certain of its products while operating legally in other respects. </w:t>
      </w:r>
      <w:r w:rsidR="00BB12DE">
        <w:t xml:space="preserve">Therefore, the Postal Service regards the question of whether and when violations </w:t>
      </w:r>
      <w:r w:rsidR="00F14E4C">
        <w:t>suffice to render a business no longer “legally operating” to be a case-specific one, dependent on the totality of relevant facts and circumstances in a particular situation. The Postal Service encourages</w:t>
      </w:r>
      <w:r w:rsidR="00691A5E">
        <w:t xml:space="preserve"> its Federal, State, local, and </w:t>
      </w:r>
      <w:r w:rsidR="00363B60">
        <w:t>T</w:t>
      </w:r>
      <w:r w:rsidR="00691A5E">
        <w:t xml:space="preserve">ribal governmental partners, as well as any other party, to bring to </w:t>
      </w:r>
      <w:r w:rsidR="00484D26">
        <w:t>the</w:t>
      </w:r>
      <w:r w:rsidR="00691A5E">
        <w:t xml:space="preserve"> attention </w:t>
      </w:r>
      <w:r w:rsidR="00484D26">
        <w:t xml:space="preserve">of the Postal Inspection Service </w:t>
      </w:r>
      <w:r w:rsidR="00691A5E">
        <w:t>any indication that a</w:t>
      </w:r>
      <w:r w:rsidR="00150D51">
        <w:t>n ENDS-industry</w:t>
      </w:r>
      <w:r w:rsidR="00691A5E">
        <w:t xml:space="preserve"> business mailer may </w:t>
      </w:r>
      <w:r w:rsidR="00A66D92">
        <w:t xml:space="preserve">have committed </w:t>
      </w:r>
      <w:r w:rsidR="0088669A">
        <w:t xml:space="preserve">material </w:t>
      </w:r>
      <w:r w:rsidR="00A66D92">
        <w:t>legal violations such that it may no longer be</w:t>
      </w:r>
      <w:r w:rsidR="00A434A9">
        <w:t xml:space="preserve"> considered</w:t>
      </w:r>
      <w:r w:rsidR="00A66D92">
        <w:t xml:space="preserve"> “legally operating.”</w:t>
      </w:r>
    </w:p>
    <w:p w14:paraId="330A1610" w14:textId="3D7E8454" w:rsidR="00A34E24" w:rsidRDefault="00204A13" w:rsidP="002E79EB">
      <w:pPr>
        <w:ind w:firstLine="720"/>
      </w:pPr>
      <w:r>
        <w:lastRenderedPageBreak/>
        <w:t xml:space="preserve">The same commenters proposed that </w:t>
      </w:r>
      <w:r w:rsidR="005C3C7C">
        <w:t>the Business/Regulatory Purposes exception</w:t>
      </w:r>
      <w:r w:rsidR="00DA5A46">
        <w:t xml:space="preserve"> be restricted to recipients using their physical address as the delivery address and that recipients using a </w:t>
      </w:r>
      <w:r w:rsidR="00795BD4">
        <w:t>different delivery address (such as a Post Office Box or private rental mailbox) be barred from eligibility.</w:t>
      </w:r>
      <w:r w:rsidR="00A30852">
        <w:t xml:space="preserve"> The Postal Service declines to adopt this recommendation.</w:t>
      </w:r>
      <w:r w:rsidR="00795BD4">
        <w:t xml:space="preserve"> </w:t>
      </w:r>
      <w:r w:rsidR="00AF3029">
        <w:t>Such a restriction is not among the statutory eligibility criteria</w:t>
      </w:r>
      <w:r w:rsidR="001C42CC">
        <w:t xml:space="preserve">. Even if the Postal Service had the policy discretion to adopt such a categorical restriction, the basis for </w:t>
      </w:r>
      <w:r w:rsidR="00224DE8">
        <w:t xml:space="preserve">such a potentially overbroad rule </w:t>
      </w:r>
      <w:r w:rsidR="001C42CC">
        <w:t>is unclear.</w:t>
      </w:r>
      <w:r w:rsidR="00DA7FE2">
        <w:t xml:space="preserve"> The Postal Service notes that Post Office Boxes and private rental mailboxes are used by a variety of business and governmental actors for a variety of reasons</w:t>
      </w:r>
      <w:r w:rsidR="00ED50B3">
        <w:t>.</w:t>
      </w:r>
      <w:r w:rsidR="00B004F4">
        <w:rPr>
          <w:rStyle w:val="FootnoteReference"/>
        </w:rPr>
        <w:footnoteReference w:id="17"/>
      </w:r>
      <w:r w:rsidR="00387FFA">
        <w:t xml:space="preserve"> </w:t>
      </w:r>
      <w:r w:rsidR="008230F4">
        <w:t xml:space="preserve">Most such uses are </w:t>
      </w:r>
      <w:r w:rsidR="008513B2">
        <w:t xml:space="preserve">presumably </w:t>
      </w:r>
      <w:r w:rsidR="008230F4">
        <w:t>lawful and legitimate, and w</w:t>
      </w:r>
      <w:r w:rsidR="00387FFA">
        <w:t xml:space="preserve">hile some </w:t>
      </w:r>
      <w:r w:rsidR="00C861E5">
        <w:t xml:space="preserve">such mail recipients may engage in unlawful activity, the same is true of persons who use a physical mailing address. The commenters offer no </w:t>
      </w:r>
      <w:r w:rsidR="00130907">
        <w:t>empirical support for the implied notion that addressees who use certain types of mailboxes are</w:t>
      </w:r>
      <w:r w:rsidR="00A30852">
        <w:t xml:space="preserve"> </w:t>
      </w:r>
      <w:r w:rsidR="00130907">
        <w:t xml:space="preserve">more likely than other addressees </w:t>
      </w:r>
      <w:r w:rsidR="00FF22DF">
        <w:t xml:space="preserve">to engage in activity disqualifying them from the Business/Regulatory Purposes exception, </w:t>
      </w:r>
      <w:r w:rsidR="00A30852">
        <w:t>let alone to such an overwhelming</w:t>
      </w:r>
      <w:r w:rsidR="00341479">
        <w:t xml:space="preserve"> and disparate</w:t>
      </w:r>
      <w:r w:rsidR="00A30852">
        <w:t xml:space="preserve"> degree as to </w:t>
      </w:r>
      <w:r w:rsidR="00341479">
        <w:t xml:space="preserve">warrant </w:t>
      </w:r>
      <w:r w:rsidR="00A30852">
        <w:t>bar</w:t>
      </w:r>
      <w:r w:rsidR="00341479">
        <w:t>ring</w:t>
      </w:r>
      <w:r w:rsidR="00A30852">
        <w:t xml:space="preserve"> </w:t>
      </w:r>
      <w:r w:rsidR="00A30852" w:rsidRPr="0040077D">
        <w:rPr>
          <w:u w:val="single"/>
        </w:rPr>
        <w:t>all</w:t>
      </w:r>
      <w:r w:rsidR="00A30852">
        <w:t xml:space="preserve"> </w:t>
      </w:r>
      <w:r w:rsidR="00CF5B42">
        <w:t>persons using such mailboxes from otherwise permissible eligibility for the exception</w:t>
      </w:r>
      <w:r w:rsidR="00FF22DF">
        <w:t>.</w:t>
      </w:r>
      <w:r w:rsidR="00A8279D">
        <w:t xml:space="preserve"> That said, if </w:t>
      </w:r>
      <w:r w:rsidR="00F8526B">
        <w:t xml:space="preserve">any person or entity </w:t>
      </w:r>
      <w:r w:rsidR="00F14D5F">
        <w:t xml:space="preserve">believes that a </w:t>
      </w:r>
      <w:r w:rsidR="005E34E4">
        <w:t xml:space="preserve">sender </w:t>
      </w:r>
      <w:r w:rsidR="00F14D5F">
        <w:t xml:space="preserve">or recipient is using a Post Office Box or private mailbox </w:t>
      </w:r>
      <w:r w:rsidR="004A69DC">
        <w:t xml:space="preserve">to violate the law, such persons and entities are </w:t>
      </w:r>
      <w:r w:rsidR="005953BB">
        <w:t xml:space="preserve">encouraged to </w:t>
      </w:r>
      <w:r w:rsidR="00D278EE">
        <w:t>notify the Postal Inspection Service</w:t>
      </w:r>
      <w:r w:rsidR="00886801">
        <w:t xml:space="preserve"> and/or to</w:t>
      </w:r>
      <w:r w:rsidR="00D278EE">
        <w:t xml:space="preserve"> nominate the entity to the </w:t>
      </w:r>
      <w:r w:rsidR="00BE12F6">
        <w:t xml:space="preserve">List of Unregistered or Noncompliant Delivery Sellers compiled by </w:t>
      </w:r>
      <w:r w:rsidR="00BE12F6">
        <w:lastRenderedPageBreak/>
        <w:t>the Attorney General under section 2A(e) of the Jenkins Act (“Noncompliant List”)</w:t>
      </w:r>
      <w:r w:rsidR="00D278EE">
        <w:t>, if appropriate</w:t>
      </w:r>
      <w:r w:rsidR="005E34E4">
        <w:t>.</w:t>
      </w:r>
    </w:p>
    <w:p w14:paraId="1659F173" w14:textId="58068A10" w:rsidR="00BA77C1" w:rsidRDefault="006E6C2E" w:rsidP="002E79EB">
      <w:pPr>
        <w:ind w:firstLine="720"/>
      </w:pPr>
      <w:r>
        <w:t xml:space="preserve">Two Federal agency partners inquired whether the Business/Regulatory Purposes exception, or some other exception, would accommodate </w:t>
      </w:r>
      <w:r w:rsidR="00F801C8">
        <w:t>shipments from one governmental actor to another, such as between a</w:t>
      </w:r>
      <w:r w:rsidR="00770BF9">
        <w:t xml:space="preserve"> </w:t>
      </w:r>
      <w:r w:rsidR="005C22FF">
        <w:t xml:space="preserve">governmental </w:t>
      </w:r>
      <w:r w:rsidR="00F801C8">
        <w:t xml:space="preserve">field agent and </w:t>
      </w:r>
      <w:r w:rsidR="005C22FF">
        <w:t xml:space="preserve">an agency </w:t>
      </w:r>
      <w:r w:rsidR="00770BF9">
        <w:t>laboratory or between two separate agencies</w:t>
      </w:r>
      <w:r w:rsidR="00F801C8">
        <w:t>.</w:t>
      </w:r>
      <w:r w:rsidR="00770BF9">
        <w:t xml:space="preserve"> </w:t>
      </w:r>
      <w:r w:rsidR="00450865">
        <w:t xml:space="preserve">Congress has made the Business/Regulatory Purposes exception available only for shipments </w:t>
      </w:r>
      <w:r w:rsidR="00C47AC5">
        <w:t>(1) </w:t>
      </w:r>
      <w:r w:rsidR="00967260">
        <w:t xml:space="preserve">from one </w:t>
      </w:r>
      <w:r w:rsidR="00450865">
        <w:t>covered business</w:t>
      </w:r>
      <w:r w:rsidR="00967260">
        <w:t xml:space="preserve"> to another</w:t>
      </w:r>
      <w:r w:rsidR="00450865">
        <w:t xml:space="preserve"> and </w:t>
      </w:r>
      <w:r w:rsidR="00C47AC5">
        <w:t>(2) </w:t>
      </w:r>
      <w:r w:rsidR="00967260">
        <w:t xml:space="preserve">from </w:t>
      </w:r>
      <w:r w:rsidR="00450865">
        <w:t xml:space="preserve">such </w:t>
      </w:r>
      <w:r w:rsidR="00967260">
        <w:t xml:space="preserve">a </w:t>
      </w:r>
      <w:r w:rsidR="00450865">
        <w:t xml:space="preserve">business and governmental </w:t>
      </w:r>
      <w:r w:rsidR="00C47AC5">
        <w:t>actor</w:t>
      </w:r>
      <w:r w:rsidR="00967260">
        <w:t xml:space="preserve"> or vice versa</w:t>
      </w:r>
      <w:r w:rsidR="00C47AC5">
        <w:t>, 18 U.S.C. 1716E(b)(3)(A)(i)</w:t>
      </w:r>
      <w:r w:rsidR="00BB79B5">
        <w:t>–</w:t>
      </w:r>
      <w:r w:rsidR="00C47AC5">
        <w:t xml:space="preserve">(ii), but </w:t>
      </w:r>
      <w:r w:rsidR="00C47AC5" w:rsidRPr="00112A27">
        <w:rPr>
          <w:u w:val="single"/>
        </w:rPr>
        <w:t>not</w:t>
      </w:r>
      <w:r w:rsidR="00C47AC5">
        <w:t xml:space="preserve"> </w:t>
      </w:r>
      <w:r w:rsidR="00112A27">
        <w:t>(3) </w:t>
      </w:r>
      <w:r w:rsidR="00A21126">
        <w:t xml:space="preserve">from one </w:t>
      </w:r>
      <w:r w:rsidR="00967260">
        <w:t>governmental actor</w:t>
      </w:r>
      <w:r w:rsidR="00A21126">
        <w:t xml:space="preserve"> to another</w:t>
      </w:r>
      <w:r w:rsidR="00967260">
        <w:t>.</w:t>
      </w:r>
      <w:r w:rsidR="00A21126">
        <w:t xml:space="preserve"> Nor does any other PACT Act exception encompass such shipments. While the Postal Service </w:t>
      </w:r>
      <w:r w:rsidR="005342C9">
        <w:t xml:space="preserve">understands that </w:t>
      </w:r>
      <w:r w:rsidR="00A21126">
        <w:t>effective regulation</w:t>
      </w:r>
      <w:r w:rsidR="005342C9">
        <w:t xml:space="preserve"> may require shipments of tobacco and ENDS products between governmental actors</w:t>
      </w:r>
      <w:r w:rsidR="00A21126">
        <w:t xml:space="preserve">, </w:t>
      </w:r>
      <w:r w:rsidR="008455C5">
        <w:t>such shipments must occur through non-</w:t>
      </w:r>
      <w:r w:rsidR="003E758D">
        <w:t>postal</w:t>
      </w:r>
      <w:r w:rsidR="008455C5">
        <w:t xml:space="preserve"> channels</w:t>
      </w:r>
      <w:r w:rsidR="005342C9">
        <w:t xml:space="preserve"> unless and until </w:t>
      </w:r>
      <w:r w:rsidR="008455C5">
        <w:t xml:space="preserve">Congress </w:t>
      </w:r>
      <w:r w:rsidR="007A3B5B">
        <w:t>amend</w:t>
      </w:r>
      <w:r w:rsidR="008D1484">
        <w:t>s</w:t>
      </w:r>
      <w:r w:rsidR="007A3B5B">
        <w:t xml:space="preserve"> the PACT Act to </w:t>
      </w:r>
      <w:r w:rsidR="003E758D">
        <w:t>permit</w:t>
      </w:r>
      <w:r w:rsidR="007A3B5B">
        <w:t xml:space="preserve"> the use of the mails for such shipments.</w:t>
      </w:r>
    </w:p>
    <w:p w14:paraId="5E452FE4" w14:textId="360A940D" w:rsidR="00F730B2" w:rsidRPr="006F5D98" w:rsidRDefault="008708FA" w:rsidP="00FE6779">
      <w:pPr>
        <w:ind w:left="720" w:firstLine="720"/>
        <w:rPr>
          <w:bCs/>
        </w:rPr>
      </w:pPr>
      <w:bookmarkStart w:id="34" w:name="_Toc79569819"/>
      <w:r w:rsidRPr="00FE6779">
        <w:rPr>
          <w:b/>
          <w:bCs/>
        </w:rPr>
        <w:t>3.</w:t>
      </w:r>
      <w:r w:rsidRPr="00FE6779">
        <w:rPr>
          <w:b/>
          <w:bCs/>
        </w:rPr>
        <w:tab/>
      </w:r>
      <w:r w:rsidR="00F730B2" w:rsidRPr="00FE6779">
        <w:rPr>
          <w:b/>
          <w:bCs/>
        </w:rPr>
        <w:t>Application Process</w:t>
      </w:r>
      <w:bookmarkEnd w:id="34"/>
    </w:p>
    <w:p w14:paraId="4754A67B" w14:textId="5E22A753" w:rsidR="00B87B18" w:rsidRDefault="00A645C8" w:rsidP="001622F8">
      <w:pPr>
        <w:shd w:val="clear" w:color="auto" w:fill="FFFFFF"/>
        <w:ind w:firstLine="720"/>
        <w:rPr>
          <w:rFonts w:cs="Arial"/>
        </w:rPr>
      </w:pPr>
      <w:r>
        <w:rPr>
          <w:rFonts w:cs="Arial"/>
        </w:rPr>
        <w:t xml:space="preserve">The PACT Act </w:t>
      </w:r>
      <w:r w:rsidR="001C2CF7">
        <w:t xml:space="preserve">charges the Postal Service with verifying that any person submitting an otherwise nonmailable tobacco product into the mails, and any person receiving such a product through the mails, as authorized under the Business/Regulatory Purposes exception, is a business or government agency within the scope of the exception. </w:t>
      </w:r>
      <w:r w:rsidR="001C2CF7" w:rsidRPr="001C2CF7">
        <w:t>18 U.S.C. 1716</w:t>
      </w:r>
      <w:r w:rsidR="001C2CF7">
        <w:t>E(b)(3)(B)(ii)(I)</w:t>
      </w:r>
      <w:r w:rsidR="007750F1">
        <w:rPr>
          <w:rFonts w:cs="Arial"/>
        </w:rPr>
        <w:t>–</w:t>
      </w:r>
      <w:r w:rsidR="001C2CF7">
        <w:t>(II)</w:t>
      </w:r>
      <w:r w:rsidR="00552403">
        <w:t xml:space="preserve">; </w:t>
      </w:r>
      <w:r w:rsidR="00552403" w:rsidRPr="00AF27CF">
        <w:t>see also</w:t>
      </w:r>
      <w:r w:rsidR="00552403">
        <w:rPr>
          <w:i/>
          <w:iCs/>
        </w:rPr>
        <w:t xml:space="preserve"> id.</w:t>
      </w:r>
      <w:r w:rsidR="00552403">
        <w:t xml:space="preserve"> at (b)(3)(B)(ii)(VI) (</w:t>
      </w:r>
      <w:r w:rsidR="00223015">
        <w:t>markings must enable Postal Service employees</w:t>
      </w:r>
      <w:r w:rsidR="0098462B">
        <w:t>’</w:t>
      </w:r>
      <w:r w:rsidR="00223015">
        <w:t xml:space="preserve"> aware</w:t>
      </w:r>
      <w:r w:rsidR="0099110F">
        <w:t>ness</w:t>
      </w:r>
      <w:r w:rsidR="00223015">
        <w:t xml:space="preserve"> that the mailing “may be delivered only to a permitted government agency or </w:t>
      </w:r>
      <w:r w:rsidR="00223015">
        <w:lastRenderedPageBreak/>
        <w:t>business”)</w:t>
      </w:r>
      <w:r w:rsidR="001C2CF7">
        <w:t xml:space="preserve">. </w:t>
      </w:r>
      <w:r w:rsidR="00F32CC0">
        <w:t xml:space="preserve">To fulfill these eligibility verification requirements, the Postal Service created </w:t>
      </w:r>
      <w:r w:rsidR="0014192D">
        <w:t xml:space="preserve">a centralized application process. 76 </w:t>
      </w:r>
      <w:r w:rsidR="007A54C0">
        <w:t>FR</w:t>
      </w:r>
      <w:r w:rsidR="0014192D">
        <w:t xml:space="preserve"> at 24535–24536; 76</w:t>
      </w:r>
      <w:r w:rsidR="004E4065">
        <w:t> </w:t>
      </w:r>
      <w:r w:rsidR="007A54C0">
        <w:t>FR</w:t>
      </w:r>
      <w:r w:rsidR="0014192D">
        <w:t xml:space="preserve"> at </w:t>
      </w:r>
      <w:r w:rsidR="00AB36E7">
        <w:t>29665</w:t>
      </w:r>
      <w:r w:rsidR="001F3B19">
        <w:t xml:space="preserve">–29666. </w:t>
      </w:r>
      <w:r w:rsidR="00BE0F80">
        <w:t xml:space="preserve">The Postal Service reasonably determined that centralization of eligibility determinations would </w:t>
      </w:r>
      <w:r w:rsidR="006B67E9">
        <w:t>allow for more effective and efficient assessment of eligibility, and</w:t>
      </w:r>
      <w:r w:rsidR="00EF403F">
        <w:t xml:space="preserve"> would be</w:t>
      </w:r>
      <w:r w:rsidR="006B67E9">
        <w:t xml:space="preserve"> less disrupti</w:t>
      </w:r>
      <w:r w:rsidR="00EF403F">
        <w:t>ve</w:t>
      </w:r>
      <w:r w:rsidR="006B67E9">
        <w:t xml:space="preserve"> to retail and delivery operations</w:t>
      </w:r>
      <w:r w:rsidR="00E513D4">
        <w:t xml:space="preserve"> and the customer experience</w:t>
      </w:r>
      <w:r w:rsidR="006B67E9">
        <w:t xml:space="preserve">, than </w:t>
      </w:r>
      <w:r w:rsidR="00B7666C">
        <w:t xml:space="preserve">the alternative of having retail and delivery personnel attempt to verify </w:t>
      </w:r>
      <w:r w:rsidR="009771DD">
        <w:t xml:space="preserve">documentation and other criteria for </w:t>
      </w:r>
      <w:r w:rsidR="000F2299">
        <w:t xml:space="preserve">eligibility </w:t>
      </w:r>
      <w:r w:rsidR="002F6D42">
        <w:t>each and every time an ENDS mailing is tendered or delivered</w:t>
      </w:r>
      <w:r w:rsidR="000F2299">
        <w:t>.</w:t>
      </w:r>
      <w:r w:rsidR="00E13E8E">
        <w:rPr>
          <w:rStyle w:val="FootnoteReference"/>
        </w:rPr>
        <w:footnoteReference w:id="18"/>
      </w:r>
      <w:r w:rsidR="001619C9">
        <w:t xml:space="preserve"> Eleven years of the existing practice have provided no fresh basis to think that a decentralized approach to eligibility verification would work better.</w:t>
      </w:r>
    </w:p>
    <w:p w14:paraId="37EEE080" w14:textId="6632FD46" w:rsidR="001622F8" w:rsidRDefault="001622F8" w:rsidP="001622F8">
      <w:pPr>
        <w:shd w:val="clear" w:color="auto" w:fill="FFFFFF"/>
        <w:ind w:firstLine="720"/>
        <w:rPr>
          <w:rFonts w:cs="Arial"/>
        </w:rPr>
      </w:pPr>
      <w:r>
        <w:rPr>
          <w:rFonts w:cs="Arial"/>
        </w:rPr>
        <w:t xml:space="preserve">In general, pro-ENDS commenters expressed concern that the centralized authorization process set forth in Publication 52 section 472.221, in combination with the fact that the POSECCA’s mailing prohibition would take effect immediately upon adoption of the final rule, would have an unduly disruptive effect on the ENDS industry, </w:t>
      </w:r>
      <w:r w:rsidR="00C059F2">
        <w:rPr>
          <w:rFonts w:cs="Arial"/>
        </w:rPr>
        <w:t xml:space="preserve">at least </w:t>
      </w:r>
      <w:r>
        <w:rPr>
          <w:rFonts w:cs="Arial"/>
        </w:rPr>
        <w:t xml:space="preserve">to </w:t>
      </w:r>
      <w:r w:rsidR="00C37C58">
        <w:rPr>
          <w:rFonts w:cs="Arial"/>
        </w:rPr>
        <w:t xml:space="preserve">the extent that </w:t>
      </w:r>
      <w:r>
        <w:rPr>
          <w:rFonts w:cs="Arial"/>
        </w:rPr>
        <w:t xml:space="preserve">supply-chain-related and regulatory mailing activity </w:t>
      </w:r>
      <w:r w:rsidR="00331F19">
        <w:rPr>
          <w:rFonts w:cs="Arial"/>
        </w:rPr>
        <w:t>might</w:t>
      </w:r>
      <w:r>
        <w:rPr>
          <w:rFonts w:cs="Arial"/>
        </w:rPr>
        <w:t xml:space="preserve"> ultimately be </w:t>
      </w:r>
      <w:r w:rsidR="00C37C58">
        <w:rPr>
          <w:rFonts w:cs="Arial"/>
        </w:rPr>
        <w:t xml:space="preserve">deemed </w:t>
      </w:r>
      <w:r>
        <w:rPr>
          <w:rFonts w:cs="Arial"/>
        </w:rPr>
        <w:t>permissible under the Business/Regulatory Purposes exception.</w:t>
      </w:r>
    </w:p>
    <w:p w14:paraId="62275D8C" w14:textId="41617C68" w:rsidR="001622F8" w:rsidRDefault="001622F8" w:rsidP="001622F8">
      <w:pPr>
        <w:shd w:val="clear" w:color="auto" w:fill="FFFFFF"/>
        <w:ind w:firstLine="720"/>
        <w:rPr>
          <w:rFonts w:cs="Arial"/>
        </w:rPr>
      </w:pPr>
      <w:r>
        <w:rPr>
          <w:rFonts w:cs="Arial"/>
        </w:rPr>
        <w:t xml:space="preserve">Some industry commenters recommended that the Postal Service develop a streamlined process involving an online application portal. The Postal Service agrees that this recommendation </w:t>
      </w:r>
      <w:r w:rsidR="009F7883">
        <w:rPr>
          <w:rFonts w:cs="Arial"/>
        </w:rPr>
        <w:t xml:space="preserve">might well </w:t>
      </w:r>
      <w:r>
        <w:rPr>
          <w:rFonts w:cs="Arial"/>
        </w:rPr>
        <w:t>benefit applicants, as well as improv</w:t>
      </w:r>
      <w:r w:rsidR="009F7883">
        <w:rPr>
          <w:rFonts w:cs="Arial"/>
        </w:rPr>
        <w:t>e</w:t>
      </w:r>
      <w:r>
        <w:rPr>
          <w:rFonts w:cs="Arial"/>
        </w:rPr>
        <w:t xml:space="preserve"> the effectiveness and efficiency of Postal Service review. Unfortunately, </w:t>
      </w:r>
      <w:r>
        <w:rPr>
          <w:rFonts w:cs="Arial"/>
        </w:rPr>
        <w:lastRenderedPageBreak/>
        <w:t>the Postal Service’s existing information technology infrastructure does not allow for such a solution</w:t>
      </w:r>
      <w:r w:rsidR="00BB0186">
        <w:rPr>
          <w:rFonts w:cs="Arial"/>
        </w:rPr>
        <w:t xml:space="preserve"> in the near term</w:t>
      </w:r>
      <w:r>
        <w:rPr>
          <w:rFonts w:cs="Arial"/>
        </w:rPr>
        <w:t xml:space="preserve">, and the </w:t>
      </w:r>
      <w:r w:rsidR="00195E9F">
        <w:rPr>
          <w:rFonts w:cs="Arial"/>
        </w:rPr>
        <w:t xml:space="preserve">need for prompt </w:t>
      </w:r>
      <w:r>
        <w:rPr>
          <w:rFonts w:cs="Arial"/>
        </w:rPr>
        <w:t xml:space="preserve">implementation precludes development and implementation of an online application portal prior to adoption of the final rule. The Postal Service will continue to explore the feasibility of digitizing the application process and may amend its rules appropriately </w:t>
      </w:r>
      <w:proofErr w:type="gramStart"/>
      <w:r>
        <w:rPr>
          <w:rFonts w:cs="Arial"/>
        </w:rPr>
        <w:t>at a later time</w:t>
      </w:r>
      <w:proofErr w:type="gramEnd"/>
      <w:r>
        <w:rPr>
          <w:rFonts w:cs="Arial"/>
        </w:rPr>
        <w:t>.</w:t>
      </w:r>
    </w:p>
    <w:p w14:paraId="0A5DE2B8" w14:textId="4FC07784" w:rsidR="00911300" w:rsidRDefault="001622F8" w:rsidP="001622F8">
      <w:pPr>
        <w:shd w:val="clear" w:color="auto" w:fill="FFFFFF"/>
        <w:ind w:firstLine="720"/>
        <w:rPr>
          <w:rFonts w:cs="Arial"/>
        </w:rPr>
      </w:pPr>
      <w:r>
        <w:rPr>
          <w:rFonts w:cs="Arial"/>
        </w:rPr>
        <w:t>Particularly given the lack of a digital-based application process, at least one industry commenter expressed concern that the Postal Service may not be prepared for a potential flood of applications</w:t>
      </w:r>
      <w:r w:rsidR="004E03A8">
        <w:rPr>
          <w:rFonts w:cs="Arial"/>
        </w:rPr>
        <w:t xml:space="preserve">, and two others asked the Postal Service to ensure adequate staffing to </w:t>
      </w:r>
      <w:r w:rsidR="002F0DEC">
        <w:rPr>
          <w:rFonts w:cs="Arial"/>
        </w:rPr>
        <w:t>process applications</w:t>
      </w:r>
      <w:r>
        <w:rPr>
          <w:rFonts w:cs="Arial"/>
        </w:rPr>
        <w:t xml:space="preserve">. The Postal Service recognizes that the ENDS industry is less consolidated, more complex, and more reliant on the mail than the industries previously subject to the PACT Act. As such, the Postal Service shares the commenter’s anticipation of </w:t>
      </w:r>
      <w:proofErr w:type="gramStart"/>
      <w:r>
        <w:rPr>
          <w:rFonts w:cs="Arial"/>
        </w:rPr>
        <w:t>a large number of</w:t>
      </w:r>
      <w:proofErr w:type="gramEnd"/>
      <w:r>
        <w:rPr>
          <w:rFonts w:cs="Arial"/>
        </w:rPr>
        <w:t xml:space="preserve"> applications that far exceeds the historical rate of such applications and involves numbers of parties and products far greater than past applications. </w:t>
      </w:r>
      <w:r w:rsidRPr="00AF27CF">
        <w:rPr>
          <w:rFonts w:cs="Arial"/>
        </w:rPr>
        <w:t>See</w:t>
      </w:r>
      <w:r>
        <w:rPr>
          <w:rFonts w:cs="Arial"/>
        </w:rPr>
        <w:t xml:space="preserve"> 86 </w:t>
      </w:r>
      <w:r w:rsidR="007A54C0">
        <w:rPr>
          <w:rFonts w:cs="Arial"/>
        </w:rPr>
        <w:t>FR</w:t>
      </w:r>
      <w:r>
        <w:rPr>
          <w:rFonts w:cs="Arial"/>
        </w:rPr>
        <w:t xml:space="preserve"> at 20288. The Postal Service is therefore undertaking multiple steps </w:t>
      </w:r>
      <w:proofErr w:type="gramStart"/>
      <w:r>
        <w:rPr>
          <w:rFonts w:cs="Arial"/>
        </w:rPr>
        <w:t>in an effort to</w:t>
      </w:r>
      <w:proofErr w:type="gramEnd"/>
      <w:r>
        <w:rPr>
          <w:rFonts w:cs="Arial"/>
        </w:rPr>
        <w:t xml:space="preserve"> improve the efficiency of the application review process and to mitigate the likely increase in processing times</w:t>
      </w:r>
      <w:r w:rsidR="00911300">
        <w:rPr>
          <w:rFonts w:cs="Arial"/>
        </w:rPr>
        <w:t>:</w:t>
      </w:r>
    </w:p>
    <w:p w14:paraId="63B48781" w14:textId="25F0B314" w:rsidR="00911300" w:rsidRDefault="00911300" w:rsidP="00D916ED">
      <w:pPr>
        <w:pStyle w:val="ListParagraph"/>
        <w:numPr>
          <w:ilvl w:val="0"/>
          <w:numId w:val="6"/>
        </w:numPr>
        <w:shd w:val="clear" w:color="auto" w:fill="FFFFFF"/>
        <w:ind w:left="720"/>
      </w:pPr>
      <w:r>
        <w:t>T</w:t>
      </w:r>
      <w:r w:rsidR="001622F8" w:rsidRPr="00911300">
        <w:t xml:space="preserve">he Postal Service provided advance guidance to ENDS industry actors about application documentation that they could compile while awaiting the final rule, in the interest of filing an application as soon as possible following the final rule and minimizing the chances of delayed processing due to insufficient supporting documentation. </w:t>
      </w:r>
      <w:r w:rsidR="001622F8" w:rsidRPr="00911300">
        <w:rPr>
          <w:i/>
          <w:iCs/>
        </w:rPr>
        <w:t>Id.</w:t>
      </w:r>
    </w:p>
    <w:p w14:paraId="2CA351CD" w14:textId="70D88F8B" w:rsidR="00911300" w:rsidRDefault="00911300" w:rsidP="00D916ED">
      <w:pPr>
        <w:pStyle w:val="ListParagraph"/>
        <w:numPr>
          <w:ilvl w:val="0"/>
          <w:numId w:val="6"/>
        </w:numPr>
        <w:shd w:val="clear" w:color="auto" w:fill="FFFFFF"/>
        <w:ind w:left="720"/>
      </w:pPr>
      <w:r>
        <w:lastRenderedPageBreak/>
        <w:t>T</w:t>
      </w:r>
      <w:r w:rsidR="001622F8" w:rsidRPr="00911300">
        <w:t xml:space="preserve">he Postal Service also provided advance guidance about other mailability restrictions that might apply to ENDS products, so that potential applicants may preemptively consider whether their products </w:t>
      </w:r>
      <w:r w:rsidR="008375BA">
        <w:t>would be nonmailable in any case</w:t>
      </w:r>
      <w:r w:rsidR="001622F8" w:rsidRPr="00911300">
        <w:t xml:space="preserve"> and, in appropriate cases, narrow the scope of their Business/Regulatory Purposes applications accordingly or forgo applying altogether. </w:t>
      </w:r>
      <w:r w:rsidR="001622F8" w:rsidRPr="00AF27CF">
        <w:t>See</w:t>
      </w:r>
      <w:r w:rsidR="001622F8" w:rsidRPr="00911300">
        <w:rPr>
          <w:i/>
          <w:iCs/>
        </w:rPr>
        <w:t xml:space="preserve"> id.</w:t>
      </w:r>
      <w:r w:rsidR="001622F8" w:rsidRPr="00911300">
        <w:t xml:space="preserve"> at 20,289.</w:t>
      </w:r>
    </w:p>
    <w:p w14:paraId="1FF45FFE" w14:textId="3C3731AE" w:rsidR="00F730B2" w:rsidRPr="000D12D0" w:rsidRDefault="00911300" w:rsidP="00D916ED">
      <w:pPr>
        <w:pStyle w:val="ListParagraph"/>
        <w:numPr>
          <w:ilvl w:val="0"/>
          <w:numId w:val="6"/>
        </w:numPr>
        <w:shd w:val="clear" w:color="auto" w:fill="FFFFFF"/>
        <w:ind w:left="720"/>
      </w:pPr>
      <w:r w:rsidRPr="000D12D0">
        <w:t>F</w:t>
      </w:r>
      <w:r w:rsidR="00695436" w:rsidRPr="000D12D0">
        <w:t xml:space="preserve">or at least a temporary period, </w:t>
      </w:r>
      <w:r w:rsidR="00333008" w:rsidRPr="000D12D0">
        <w:t xml:space="preserve">the Postal Service is assigning </w:t>
      </w:r>
      <w:r w:rsidR="00CB414A" w:rsidRPr="000D12D0">
        <w:t xml:space="preserve">additional analyst resources to assist the </w:t>
      </w:r>
      <w:r w:rsidR="00363B60" w:rsidRPr="000D12D0">
        <w:t>PCSC</w:t>
      </w:r>
      <w:r w:rsidR="00CB414A" w:rsidRPr="000D12D0">
        <w:t xml:space="preserve"> </w:t>
      </w:r>
      <w:r w:rsidR="002168D2" w:rsidRPr="000D12D0">
        <w:t xml:space="preserve">with </w:t>
      </w:r>
      <w:r w:rsidR="00695436" w:rsidRPr="000D12D0">
        <w:t>review</w:t>
      </w:r>
      <w:r w:rsidR="002168D2" w:rsidRPr="000D12D0">
        <w:t>ing</w:t>
      </w:r>
      <w:r w:rsidR="00695436" w:rsidRPr="000D12D0">
        <w:t xml:space="preserve"> </w:t>
      </w:r>
      <w:r w:rsidR="00CB414A" w:rsidRPr="000D12D0">
        <w:t xml:space="preserve">Business/Regulatory Purposes exception </w:t>
      </w:r>
      <w:r w:rsidR="00695436" w:rsidRPr="000D12D0">
        <w:t>applications.</w:t>
      </w:r>
      <w:r w:rsidR="002168D2" w:rsidRPr="000D12D0">
        <w:t xml:space="preserve"> This internal workload</w:t>
      </w:r>
      <w:r w:rsidR="00972353" w:rsidRPr="000D12D0">
        <w:t>-management</w:t>
      </w:r>
      <w:r w:rsidR="002168D2" w:rsidRPr="000D12D0">
        <w:t xml:space="preserve"> change does not affect any aspect of the rule</w:t>
      </w:r>
      <w:r w:rsidR="00EB29D2" w:rsidRPr="000D12D0">
        <w:t>s themselves</w:t>
      </w:r>
      <w:r w:rsidR="002168D2" w:rsidRPr="000D12D0">
        <w:t xml:space="preserve"> and therefore is not reflected</w:t>
      </w:r>
      <w:r w:rsidR="00EB29D2" w:rsidRPr="000D12D0">
        <w:t xml:space="preserve"> in the text of the final rule.</w:t>
      </w:r>
    </w:p>
    <w:p w14:paraId="7CDC261B" w14:textId="04B09C13" w:rsidR="00972353" w:rsidRPr="00911300" w:rsidRDefault="00972353" w:rsidP="0012405E">
      <w:pPr>
        <w:shd w:val="clear" w:color="auto" w:fill="FFFFFF"/>
        <w:ind w:firstLine="720"/>
      </w:pPr>
      <w:r>
        <w:t xml:space="preserve">Despite these measures, </w:t>
      </w:r>
      <w:r w:rsidR="00D6530F">
        <w:t>it must be recognized that the Postal Service has limited financial and other resources</w:t>
      </w:r>
      <w:r w:rsidR="00C37DE0">
        <w:t xml:space="preserve"> with which to fulfill its universal service mission and fulfill myriad other statutory obligations</w:t>
      </w:r>
      <w:r w:rsidR="00D6530F">
        <w:t>,</w:t>
      </w:r>
      <w:r w:rsidR="00DF2B4E">
        <w:rPr>
          <w:rStyle w:val="FootnoteReference"/>
        </w:rPr>
        <w:footnoteReference w:id="19"/>
      </w:r>
      <w:r w:rsidR="00D6530F">
        <w:t xml:space="preserve"> and Congress did not provide </w:t>
      </w:r>
      <w:r w:rsidR="00A855A8">
        <w:t xml:space="preserve">the Postal Service with </w:t>
      </w:r>
      <w:r w:rsidR="00D6530F">
        <w:t xml:space="preserve">any </w:t>
      </w:r>
      <w:r w:rsidR="00A855A8">
        <w:t xml:space="preserve">additional funding for POSECCA implementation activities. As such, </w:t>
      </w:r>
      <w:r w:rsidR="00C37DE0">
        <w:t xml:space="preserve">there are limits to the Postal Service’s ability to </w:t>
      </w:r>
      <w:r w:rsidR="0017634F">
        <w:t>timely process substantial numbers of Business/Regulatory Purposes applications</w:t>
      </w:r>
      <w:r w:rsidR="00496305">
        <w:t xml:space="preserve"> at any given time</w:t>
      </w:r>
      <w:r w:rsidR="0017634F">
        <w:t>.</w:t>
      </w:r>
      <w:r w:rsidR="0012405E">
        <w:t xml:space="preserve"> </w:t>
      </w:r>
      <w:r w:rsidR="00153CE7">
        <w:t>T</w:t>
      </w:r>
      <w:r w:rsidR="0012405E">
        <w:t>he statutory requirements for Postal Service verification of mailers</w:t>
      </w:r>
      <w:r w:rsidR="00153CE7">
        <w:t>’</w:t>
      </w:r>
      <w:r w:rsidR="0012405E">
        <w:t xml:space="preserve"> and recipients</w:t>
      </w:r>
      <w:r w:rsidR="00153CE7">
        <w:t>’</w:t>
      </w:r>
      <w:r w:rsidR="0012405E">
        <w:t xml:space="preserve"> eligibility</w:t>
      </w:r>
      <w:r w:rsidR="00153CE7">
        <w:t>,</w:t>
      </w:r>
      <w:r w:rsidR="0012405E">
        <w:t xml:space="preserve"> </w:t>
      </w:r>
      <w:r w:rsidR="0012405E" w:rsidRPr="0012405E">
        <w:t>18 U.S.C. 1716</w:t>
      </w:r>
      <w:r w:rsidR="0012405E">
        <w:t>E(b)(3)(B)(ii)(I)</w:t>
      </w:r>
      <w:r w:rsidR="007750F1">
        <w:rPr>
          <w:rFonts w:cs="Arial"/>
        </w:rPr>
        <w:t>–</w:t>
      </w:r>
      <w:r w:rsidR="0012405E">
        <w:lastRenderedPageBreak/>
        <w:t>(II), (b)(5)(C)(ii)(I)</w:t>
      </w:r>
      <w:r w:rsidR="00153CE7">
        <w:t xml:space="preserve">, </w:t>
      </w:r>
      <w:r w:rsidR="00030A86">
        <w:t xml:space="preserve">leave the Postal Service unable to simply </w:t>
      </w:r>
      <w:r w:rsidR="00277128">
        <w:t>suspend such verification</w:t>
      </w:r>
      <w:r w:rsidR="0012405E">
        <w:t>.</w:t>
      </w:r>
      <w:r w:rsidR="00277128">
        <w:t xml:space="preserve"> Hence, applicants and other interested parties should expect review of their applications to require potentially substantial processing time.</w:t>
      </w:r>
      <w:r w:rsidR="0012405E">
        <w:t xml:space="preserve"> The duration of any review would be determined by the number and complexity of the applications that the Postal Service receives and the amount of engagement with applicants during processing.</w:t>
      </w:r>
      <w:r w:rsidR="00277128">
        <w:t xml:space="preserve"> </w:t>
      </w:r>
      <w:r w:rsidR="000308C0">
        <w:t xml:space="preserve">The Postal Service recommends </w:t>
      </w:r>
      <w:r w:rsidR="00277128">
        <w:t xml:space="preserve">that applicants </w:t>
      </w:r>
      <w:r w:rsidR="0053196A">
        <w:t>provide complete, accurate information in their applications</w:t>
      </w:r>
      <w:r w:rsidR="00C97886">
        <w:t xml:space="preserve"> and </w:t>
      </w:r>
      <w:r w:rsidR="00213DFB">
        <w:t>limit their current and anticipated mailing activity to bona fide mailable content</w:t>
      </w:r>
      <w:r w:rsidR="0053196A">
        <w:t xml:space="preserve">, </w:t>
      </w:r>
      <w:r w:rsidR="00663850">
        <w:t xml:space="preserve">so that </w:t>
      </w:r>
      <w:r w:rsidR="0053196A">
        <w:t xml:space="preserve">applications </w:t>
      </w:r>
      <w:r w:rsidR="00F44636">
        <w:t xml:space="preserve">can </w:t>
      </w:r>
      <w:r w:rsidR="0053196A">
        <w:t>be processed</w:t>
      </w:r>
      <w:r w:rsidR="00E66BF9">
        <w:t xml:space="preserve"> as efficiently </w:t>
      </w:r>
      <w:r w:rsidR="00492926">
        <w:t>and expeditiously as possible</w:t>
      </w:r>
      <w:r w:rsidR="0053196A">
        <w:t>.</w:t>
      </w:r>
    </w:p>
    <w:p w14:paraId="6351B877" w14:textId="4F56CD39" w:rsidR="00957B0A" w:rsidRDefault="00957B0A" w:rsidP="00957B0A">
      <w:pPr>
        <w:shd w:val="clear" w:color="auto" w:fill="FFFFFF"/>
        <w:ind w:firstLine="720"/>
        <w:rPr>
          <w:rFonts w:cs="Arial"/>
        </w:rPr>
      </w:pPr>
      <w:proofErr w:type="gramStart"/>
      <w:r>
        <w:rPr>
          <w:rFonts w:cs="Arial"/>
        </w:rPr>
        <w:t>A number of</w:t>
      </w:r>
      <w:proofErr w:type="gramEnd"/>
      <w:r>
        <w:rPr>
          <w:rFonts w:cs="Arial"/>
        </w:rPr>
        <w:t xml:space="preserve"> pro-ENDS commenters</w:t>
      </w:r>
      <w:r w:rsidR="00DE355B">
        <w:rPr>
          <w:rFonts w:cs="Arial"/>
        </w:rPr>
        <w:t xml:space="preserve"> expressed concern that an immediate effective date, coupled with </w:t>
      </w:r>
      <w:r w:rsidR="00BE7B89">
        <w:rPr>
          <w:rFonts w:cs="Arial"/>
        </w:rPr>
        <w:t>a time-consuming application process for the Business/Regulatory Purposes exception, would disrupt</w:t>
      </w:r>
      <w:r w:rsidR="00224BF4">
        <w:rPr>
          <w:rFonts w:cs="Arial"/>
        </w:rPr>
        <w:t xml:space="preserve"> the very</w:t>
      </w:r>
      <w:r w:rsidR="00BE7B89">
        <w:rPr>
          <w:rFonts w:cs="Arial"/>
        </w:rPr>
        <w:t xml:space="preserve"> industry supply chains</w:t>
      </w:r>
      <w:r w:rsidR="00224BF4">
        <w:rPr>
          <w:rFonts w:cs="Arial"/>
        </w:rPr>
        <w:t xml:space="preserve"> </w:t>
      </w:r>
      <w:r w:rsidR="00B47B01">
        <w:rPr>
          <w:rFonts w:cs="Arial"/>
        </w:rPr>
        <w:t xml:space="preserve">and regulatory activities </w:t>
      </w:r>
      <w:r w:rsidR="00224BF4">
        <w:rPr>
          <w:rFonts w:cs="Arial"/>
        </w:rPr>
        <w:t>that the exception is intended to safeguard</w:t>
      </w:r>
      <w:r w:rsidR="00A275B2">
        <w:rPr>
          <w:rFonts w:cs="Arial"/>
        </w:rPr>
        <w:t xml:space="preserve">. To avoid such anticipated harms, these commenters </w:t>
      </w:r>
      <w:r>
        <w:rPr>
          <w:rFonts w:cs="Arial"/>
        </w:rPr>
        <w:t xml:space="preserve">asked the Postal Service </w:t>
      </w:r>
      <w:r w:rsidR="00A275B2">
        <w:rPr>
          <w:rFonts w:cs="Arial"/>
        </w:rPr>
        <w:t xml:space="preserve">either </w:t>
      </w:r>
      <w:r>
        <w:rPr>
          <w:rFonts w:cs="Arial"/>
        </w:rPr>
        <w:t>to accept Business/Regulatory Purposes exception applications in advance of the final rule</w:t>
      </w:r>
      <w:r w:rsidR="00A275B2">
        <w:rPr>
          <w:rFonts w:cs="Arial"/>
        </w:rPr>
        <w:t xml:space="preserve">, or else </w:t>
      </w:r>
      <w:r w:rsidR="0062311A">
        <w:rPr>
          <w:rFonts w:cs="Arial"/>
        </w:rPr>
        <w:t xml:space="preserve">to defer the </w:t>
      </w:r>
      <w:r w:rsidR="00B459E2">
        <w:rPr>
          <w:rFonts w:cs="Arial"/>
        </w:rPr>
        <w:t xml:space="preserve">mailing ban until </w:t>
      </w:r>
      <w:r w:rsidR="00886F8D">
        <w:rPr>
          <w:rFonts w:cs="Arial"/>
        </w:rPr>
        <w:t>applications can be approved</w:t>
      </w:r>
      <w:r w:rsidR="00A275B2">
        <w:rPr>
          <w:rFonts w:cs="Arial"/>
        </w:rPr>
        <w:t>.</w:t>
      </w:r>
      <w:r w:rsidR="001639C5">
        <w:rPr>
          <w:rFonts w:cs="Arial"/>
        </w:rPr>
        <w:t xml:space="preserve"> </w:t>
      </w:r>
      <w:r w:rsidR="00693474">
        <w:rPr>
          <w:rFonts w:cs="Arial"/>
        </w:rPr>
        <w:t xml:space="preserve">In the April </w:t>
      </w:r>
      <w:r w:rsidR="00E706EE">
        <w:rPr>
          <w:rFonts w:cs="Arial"/>
        </w:rPr>
        <w:t>2021 G</w:t>
      </w:r>
      <w:r w:rsidR="00693474">
        <w:rPr>
          <w:rFonts w:cs="Arial"/>
        </w:rPr>
        <w:t xml:space="preserve">uidance, the Postal Service explained that it would not accept early applications, as it </w:t>
      </w:r>
      <w:r w:rsidR="00E01F65">
        <w:rPr>
          <w:rFonts w:cs="Arial"/>
        </w:rPr>
        <w:t>was yet undetermined to what extent the exceptions would be available for ENDS products at all and on what terms. 86 </w:t>
      </w:r>
      <w:r w:rsidR="007A54C0">
        <w:rPr>
          <w:rFonts w:cs="Arial"/>
        </w:rPr>
        <w:t>FR</w:t>
      </w:r>
      <w:r w:rsidR="00E01F65">
        <w:rPr>
          <w:rFonts w:cs="Arial"/>
        </w:rPr>
        <w:t> at 20288.</w:t>
      </w:r>
      <w:r w:rsidR="00457897">
        <w:rPr>
          <w:rFonts w:cs="Arial"/>
        </w:rPr>
        <w:t xml:space="preserve"> </w:t>
      </w:r>
      <w:r w:rsidR="002419CE">
        <w:rPr>
          <w:rFonts w:cs="Arial"/>
        </w:rPr>
        <w:t>It is tautological that the Postal Service cannot announce and give effect to an exception to a mailing ban before the ban takes effect</w:t>
      </w:r>
      <w:r w:rsidR="00E86EE5">
        <w:rPr>
          <w:rFonts w:cs="Arial"/>
        </w:rPr>
        <w:t xml:space="preserve">; prior to the ban, mailability is the rule, not an exception. </w:t>
      </w:r>
      <w:r w:rsidR="00E8164B">
        <w:rPr>
          <w:rFonts w:cs="Arial"/>
        </w:rPr>
        <w:t>As for accepting</w:t>
      </w:r>
      <w:r w:rsidR="00AD03D8">
        <w:rPr>
          <w:rFonts w:cs="Arial"/>
        </w:rPr>
        <w:t xml:space="preserve"> </w:t>
      </w:r>
      <w:r w:rsidR="00506E65">
        <w:rPr>
          <w:rFonts w:cs="Arial"/>
        </w:rPr>
        <w:t xml:space="preserve">and processing </w:t>
      </w:r>
      <w:r w:rsidR="00AD03D8">
        <w:rPr>
          <w:rFonts w:cs="Arial"/>
        </w:rPr>
        <w:t xml:space="preserve">applications </w:t>
      </w:r>
      <w:r w:rsidR="00506E65">
        <w:rPr>
          <w:rFonts w:cs="Arial"/>
        </w:rPr>
        <w:t>in advance of the final rule</w:t>
      </w:r>
      <w:r w:rsidR="00AD03D8">
        <w:rPr>
          <w:rFonts w:cs="Arial"/>
        </w:rPr>
        <w:t>, t</w:t>
      </w:r>
      <w:r w:rsidR="00570E59">
        <w:rPr>
          <w:rFonts w:cs="Arial"/>
        </w:rPr>
        <w:t xml:space="preserve">he course of intra- and interagency </w:t>
      </w:r>
      <w:r w:rsidR="00570E59">
        <w:rPr>
          <w:rFonts w:cs="Arial"/>
        </w:rPr>
        <w:lastRenderedPageBreak/>
        <w:t xml:space="preserve">deliberations over the final rule—particularly in light of the </w:t>
      </w:r>
      <w:r w:rsidR="00087005">
        <w:rPr>
          <w:rFonts w:cs="Arial"/>
        </w:rPr>
        <w:t xml:space="preserve">voluminous number </w:t>
      </w:r>
      <w:r w:rsidR="00AA715A">
        <w:rPr>
          <w:rFonts w:cs="Arial"/>
        </w:rPr>
        <w:t xml:space="preserve">and range </w:t>
      </w:r>
      <w:r w:rsidR="00087005">
        <w:rPr>
          <w:rFonts w:cs="Arial"/>
        </w:rPr>
        <w:t xml:space="preserve">of public comments—required </w:t>
      </w:r>
      <w:r w:rsidR="00AA715A">
        <w:rPr>
          <w:rFonts w:cs="Arial"/>
        </w:rPr>
        <w:t>an extraordinary amount of time to process</w:t>
      </w:r>
      <w:r w:rsidR="00845E6E">
        <w:rPr>
          <w:rFonts w:cs="Arial"/>
        </w:rPr>
        <w:t xml:space="preserve">, to the point where any early acceptance period would have been too short </w:t>
      </w:r>
      <w:r w:rsidR="00584677">
        <w:rPr>
          <w:rFonts w:cs="Arial"/>
        </w:rPr>
        <w:t xml:space="preserve">to provide the substantial buffer that commenters sought. Nor </w:t>
      </w:r>
      <w:r w:rsidR="000C0EFB">
        <w:rPr>
          <w:rFonts w:cs="Arial"/>
        </w:rPr>
        <w:t>is</w:t>
      </w:r>
      <w:r w:rsidR="00584677">
        <w:rPr>
          <w:rFonts w:cs="Arial"/>
        </w:rPr>
        <w:t xml:space="preserve"> the Postal Service at liberty to </w:t>
      </w:r>
      <w:r w:rsidR="00AC6589">
        <w:rPr>
          <w:rFonts w:cs="Arial"/>
        </w:rPr>
        <w:t>further defer the effective date simply for the sake of a small group of pro-ENDS commenters</w:t>
      </w:r>
      <w:r w:rsidR="000C0EFB">
        <w:rPr>
          <w:rFonts w:cs="Arial"/>
        </w:rPr>
        <w:t xml:space="preserve">, for the reasons discussed in section </w:t>
      </w:r>
      <w:r w:rsidR="000C0EFB" w:rsidRPr="0022072C">
        <w:rPr>
          <w:rFonts w:cs="Arial"/>
        </w:rPr>
        <w:t>III.A.3</w:t>
      </w:r>
      <w:r w:rsidR="000C0EFB">
        <w:rPr>
          <w:rFonts w:cs="Arial"/>
        </w:rPr>
        <w:t>. A</w:t>
      </w:r>
      <w:r w:rsidR="00DE5749">
        <w:rPr>
          <w:rFonts w:cs="Arial"/>
        </w:rPr>
        <w:t xml:space="preserve">s it was, </w:t>
      </w:r>
      <w:r w:rsidR="00AC6589">
        <w:rPr>
          <w:rFonts w:cs="Arial"/>
        </w:rPr>
        <w:t xml:space="preserve">the same </w:t>
      </w:r>
      <w:r w:rsidR="00DE5749">
        <w:rPr>
          <w:rFonts w:cs="Arial"/>
        </w:rPr>
        <w:t xml:space="preserve">complex deliberations required far more time to complete the final rule than Congress had allotted in the POSECCA, and </w:t>
      </w:r>
      <w:r w:rsidR="0005300D">
        <w:rPr>
          <w:rFonts w:cs="Arial"/>
        </w:rPr>
        <w:t>the policy interests evident in the statutory text and legislative history</w:t>
      </w:r>
      <w:r w:rsidR="00C7148E">
        <w:rPr>
          <w:rFonts w:cs="Arial"/>
        </w:rPr>
        <w:t>—none of which include solicitude toward industry supply chains</w:t>
      </w:r>
      <w:r w:rsidR="00425D91">
        <w:rPr>
          <w:rFonts w:cs="Arial"/>
        </w:rPr>
        <w:t xml:space="preserve"> or regulatory activities</w:t>
      </w:r>
      <w:r w:rsidR="00C7148E">
        <w:rPr>
          <w:rFonts w:cs="Arial"/>
        </w:rPr>
        <w:t xml:space="preserve">—do not </w:t>
      </w:r>
      <w:r w:rsidR="00C6172F">
        <w:rPr>
          <w:rFonts w:cs="Arial"/>
        </w:rPr>
        <w:t>support additional, discretionary delay</w:t>
      </w:r>
      <w:r w:rsidR="003A455D">
        <w:rPr>
          <w:rFonts w:cs="Arial"/>
        </w:rPr>
        <w:t xml:space="preserve"> beyond what was necessary to complete the final rule</w:t>
      </w:r>
      <w:r w:rsidR="00C6172F">
        <w:rPr>
          <w:rFonts w:cs="Arial"/>
        </w:rPr>
        <w:t>.</w:t>
      </w:r>
      <w:r w:rsidR="00801AB6">
        <w:rPr>
          <w:rStyle w:val="FootnoteReference"/>
          <w:rFonts w:cs="Arial"/>
        </w:rPr>
        <w:footnoteReference w:id="20"/>
      </w:r>
    </w:p>
    <w:p w14:paraId="6F41AF73" w14:textId="500BF36D" w:rsidR="00A46526" w:rsidRDefault="00C90E6C" w:rsidP="001622F8">
      <w:pPr>
        <w:shd w:val="clear" w:color="auto" w:fill="FFFFFF"/>
        <w:ind w:firstLine="720"/>
        <w:rPr>
          <w:rFonts w:cs="Arial"/>
        </w:rPr>
      </w:pPr>
      <w:r>
        <w:rPr>
          <w:rFonts w:cs="Arial"/>
        </w:rPr>
        <w:t xml:space="preserve">Out of similar concerns </w:t>
      </w:r>
      <w:r w:rsidR="00E55970">
        <w:rPr>
          <w:rFonts w:cs="Arial"/>
        </w:rPr>
        <w:t xml:space="preserve">over </w:t>
      </w:r>
      <w:r>
        <w:rPr>
          <w:rFonts w:cs="Arial"/>
        </w:rPr>
        <w:t>at least temporary disruption of industry supply</w:t>
      </w:r>
      <w:r w:rsidR="006D045A">
        <w:rPr>
          <w:rFonts w:cs="Arial"/>
        </w:rPr>
        <w:t xml:space="preserve"> </w:t>
      </w:r>
      <w:r>
        <w:rPr>
          <w:rFonts w:cs="Arial"/>
        </w:rPr>
        <w:t xml:space="preserve">chains, two ENDS industry commenters </w:t>
      </w:r>
      <w:r w:rsidR="00743D76">
        <w:rPr>
          <w:rFonts w:cs="Arial"/>
        </w:rPr>
        <w:t xml:space="preserve">proposed that the Postal Service </w:t>
      </w:r>
      <w:r w:rsidR="003569D1">
        <w:rPr>
          <w:rFonts w:cs="Arial"/>
        </w:rPr>
        <w:t xml:space="preserve">allow applicants to </w:t>
      </w:r>
      <w:r w:rsidR="00E55970">
        <w:rPr>
          <w:rFonts w:cs="Arial"/>
        </w:rPr>
        <w:t xml:space="preserve">continue </w:t>
      </w:r>
      <w:r w:rsidR="003569D1">
        <w:rPr>
          <w:rFonts w:cs="Arial"/>
        </w:rPr>
        <w:t>mail</w:t>
      </w:r>
      <w:r w:rsidR="00E55970">
        <w:rPr>
          <w:rFonts w:cs="Arial"/>
        </w:rPr>
        <w:t>ing</w:t>
      </w:r>
      <w:r w:rsidR="003569D1">
        <w:rPr>
          <w:rFonts w:cs="Arial"/>
        </w:rPr>
        <w:t xml:space="preserve"> ENDS products within the scope of the exception </w:t>
      </w:r>
      <w:r w:rsidR="00250236">
        <w:rPr>
          <w:rFonts w:cs="Arial"/>
        </w:rPr>
        <w:t>while awaiting approval of their application</w:t>
      </w:r>
      <w:r w:rsidR="00BC60E5">
        <w:rPr>
          <w:rFonts w:cs="Arial"/>
        </w:rPr>
        <w:t>, subject to a sworn certification of eligibility</w:t>
      </w:r>
      <w:r w:rsidR="00BB4F09">
        <w:rPr>
          <w:rFonts w:cs="Arial"/>
        </w:rPr>
        <w:t xml:space="preserve">, a bond or other security, or </w:t>
      </w:r>
      <w:r w:rsidR="00374453">
        <w:rPr>
          <w:rFonts w:cs="Arial"/>
        </w:rPr>
        <w:t xml:space="preserve">a provisional eligibility number provided by the Postal Service. </w:t>
      </w:r>
      <w:r w:rsidR="008622BD">
        <w:rPr>
          <w:rFonts w:cs="Arial"/>
        </w:rPr>
        <w:t xml:space="preserve">The Postal Service declines to adopt this proposal as inconsistent with the </w:t>
      </w:r>
      <w:r w:rsidR="00E86A43">
        <w:rPr>
          <w:rFonts w:cs="Arial"/>
        </w:rPr>
        <w:t xml:space="preserve">aforementioned </w:t>
      </w:r>
      <w:r w:rsidR="007E5523">
        <w:rPr>
          <w:rFonts w:cs="Arial"/>
        </w:rPr>
        <w:t xml:space="preserve">statutory </w:t>
      </w:r>
      <w:r w:rsidR="008622BD">
        <w:rPr>
          <w:rFonts w:cs="Arial"/>
        </w:rPr>
        <w:t>requirement</w:t>
      </w:r>
      <w:r w:rsidR="007E5523">
        <w:rPr>
          <w:rFonts w:cs="Arial"/>
        </w:rPr>
        <w:t>s</w:t>
      </w:r>
      <w:r w:rsidR="008622BD">
        <w:rPr>
          <w:rFonts w:cs="Arial"/>
        </w:rPr>
        <w:t xml:space="preserve"> that </w:t>
      </w:r>
      <w:r w:rsidR="007E5523">
        <w:rPr>
          <w:rFonts w:cs="Arial"/>
        </w:rPr>
        <w:t xml:space="preserve">the mailing ban take effect immediately and that </w:t>
      </w:r>
      <w:r w:rsidR="008622BD">
        <w:rPr>
          <w:rFonts w:cs="Arial"/>
        </w:rPr>
        <w:t xml:space="preserve">the Postal Service verify </w:t>
      </w:r>
      <w:r w:rsidR="00861917">
        <w:rPr>
          <w:rFonts w:cs="Arial"/>
        </w:rPr>
        <w:t xml:space="preserve">the sender </w:t>
      </w:r>
      <w:r w:rsidR="00861917">
        <w:rPr>
          <w:rFonts w:cs="Arial"/>
        </w:rPr>
        <w:lastRenderedPageBreak/>
        <w:t>and recipient’s eligibility</w:t>
      </w:r>
      <w:r w:rsidR="007E5523">
        <w:rPr>
          <w:rFonts w:cs="Arial"/>
        </w:rPr>
        <w:t xml:space="preserve"> prior to permitting any mailing under the Business/Regulatory Purposes exception</w:t>
      </w:r>
      <w:r w:rsidR="00681DAA">
        <w:rPr>
          <w:rFonts w:cs="Arial"/>
        </w:rPr>
        <w:t>.</w:t>
      </w:r>
    </w:p>
    <w:p w14:paraId="3F204119" w14:textId="5497A713" w:rsidR="00CB414A" w:rsidRDefault="003843FA" w:rsidP="001622F8">
      <w:pPr>
        <w:shd w:val="clear" w:color="auto" w:fill="FFFFFF"/>
        <w:ind w:firstLine="720"/>
        <w:rPr>
          <w:rFonts w:cs="Arial"/>
        </w:rPr>
      </w:pPr>
      <w:r>
        <w:rPr>
          <w:rFonts w:cs="Arial"/>
        </w:rPr>
        <w:t>Even if</w:t>
      </w:r>
      <w:r w:rsidR="003F4590">
        <w:rPr>
          <w:rFonts w:cs="Arial"/>
        </w:rPr>
        <w:t xml:space="preserve"> 18 U.S.C. 1716E</w:t>
      </w:r>
      <w:r w:rsidR="00A76DDD">
        <w:rPr>
          <w:rFonts w:cs="Arial"/>
        </w:rPr>
        <w:t>(b)(3)(B)(i</w:t>
      </w:r>
      <w:r w:rsidR="00212C63">
        <w:rPr>
          <w:rFonts w:cs="Arial"/>
        </w:rPr>
        <w:t>i)(I)</w:t>
      </w:r>
      <w:r w:rsidR="007D3848">
        <w:rPr>
          <w:rFonts w:cs="Arial"/>
        </w:rPr>
        <w:t>–</w:t>
      </w:r>
      <w:r w:rsidR="00212C63">
        <w:rPr>
          <w:rFonts w:cs="Arial"/>
        </w:rPr>
        <w:t xml:space="preserve">(II) </w:t>
      </w:r>
      <w:r>
        <w:rPr>
          <w:rFonts w:cs="Arial"/>
        </w:rPr>
        <w:t xml:space="preserve">were </w:t>
      </w:r>
      <w:r w:rsidR="00212C63">
        <w:rPr>
          <w:rFonts w:cs="Arial"/>
        </w:rPr>
        <w:t xml:space="preserve">arguably ambiguous as to whether </w:t>
      </w:r>
      <w:r w:rsidR="00731C09">
        <w:rPr>
          <w:rFonts w:cs="Arial"/>
        </w:rPr>
        <w:t xml:space="preserve">verification may happen after acceptance or even after delivery, the Postal Service considers </w:t>
      </w:r>
      <w:r w:rsidR="00F568DA">
        <w:rPr>
          <w:rFonts w:cs="Arial"/>
        </w:rPr>
        <w:t>the only reasonable interpretation to be that verification must occur prior to acceptance</w:t>
      </w:r>
      <w:r w:rsidR="00731C09">
        <w:rPr>
          <w:rFonts w:cs="Arial"/>
        </w:rPr>
        <w:t xml:space="preserve">. </w:t>
      </w:r>
      <w:r w:rsidR="008336FC">
        <w:rPr>
          <w:rFonts w:cs="Arial"/>
        </w:rPr>
        <w:t xml:space="preserve">Congress clearly </w:t>
      </w:r>
      <w:r w:rsidR="0082553D">
        <w:rPr>
          <w:rFonts w:cs="Arial"/>
        </w:rPr>
        <w:t xml:space="preserve">expressed its intent that </w:t>
      </w:r>
      <w:r w:rsidR="008336FC">
        <w:rPr>
          <w:rFonts w:cs="Arial"/>
        </w:rPr>
        <w:t xml:space="preserve">verification </w:t>
      </w:r>
      <w:r w:rsidR="00262F12">
        <w:rPr>
          <w:rFonts w:cs="Arial"/>
        </w:rPr>
        <w:t xml:space="preserve">of the recipient </w:t>
      </w:r>
      <w:r w:rsidR="0082553D">
        <w:rPr>
          <w:rFonts w:cs="Arial"/>
        </w:rPr>
        <w:t xml:space="preserve">occur </w:t>
      </w:r>
      <w:r w:rsidR="008336FC">
        <w:rPr>
          <w:rFonts w:cs="Arial"/>
        </w:rPr>
        <w:t xml:space="preserve">prior to delivery: </w:t>
      </w:r>
      <w:r w:rsidR="00731C09">
        <w:rPr>
          <w:rFonts w:cs="Arial"/>
        </w:rPr>
        <w:t>18 U.S.C. 1716E(b)(</w:t>
      </w:r>
      <w:r w:rsidR="00F568DA">
        <w:rPr>
          <w:rFonts w:cs="Arial"/>
        </w:rPr>
        <w:t xml:space="preserve">3)(B)(ii)(VI) </w:t>
      </w:r>
      <w:r w:rsidR="0082553D">
        <w:rPr>
          <w:rFonts w:cs="Arial"/>
        </w:rPr>
        <w:t xml:space="preserve">requires package markings apprising Postal Service personnel that </w:t>
      </w:r>
      <w:r w:rsidR="00210422">
        <w:rPr>
          <w:rFonts w:cs="Arial"/>
        </w:rPr>
        <w:t>a given mailing “may be delivered only to a permitted government agency or business</w:t>
      </w:r>
      <w:r w:rsidR="009120B2">
        <w:rPr>
          <w:rFonts w:cs="Arial"/>
        </w:rPr>
        <w:t>.</w:t>
      </w:r>
      <w:r w:rsidR="00210422">
        <w:rPr>
          <w:rFonts w:cs="Arial"/>
        </w:rPr>
        <w:t xml:space="preserve">” </w:t>
      </w:r>
      <w:r w:rsidR="009120B2">
        <w:rPr>
          <w:rFonts w:cs="Arial"/>
        </w:rPr>
        <w:t>H</w:t>
      </w:r>
      <w:r w:rsidR="00210422">
        <w:rPr>
          <w:rFonts w:cs="Arial"/>
        </w:rPr>
        <w:t>ence, “permitted” status must be ascertained as a condition precedent to delivery.</w:t>
      </w:r>
      <w:r w:rsidR="00087DE7">
        <w:rPr>
          <w:rFonts w:cs="Arial"/>
        </w:rPr>
        <w:t xml:space="preserve"> </w:t>
      </w:r>
      <w:r w:rsidR="00394C23">
        <w:rPr>
          <w:rFonts w:cs="Arial"/>
        </w:rPr>
        <w:t>Moreover</w:t>
      </w:r>
      <w:r w:rsidR="00087DE7">
        <w:rPr>
          <w:rFonts w:cs="Arial"/>
        </w:rPr>
        <w:t xml:space="preserve">, the exception is available “only” to </w:t>
      </w:r>
      <w:r w:rsidR="002703EC">
        <w:rPr>
          <w:rFonts w:cs="Arial"/>
        </w:rPr>
        <w:t xml:space="preserve">eligible businesses and government agencies. 18 U.S.C. 1716E(b)(3)(A). The </w:t>
      </w:r>
      <w:r w:rsidR="006C0300">
        <w:rPr>
          <w:rFonts w:cs="Arial"/>
        </w:rPr>
        <w:t xml:space="preserve">exception therefore may not be used to justify </w:t>
      </w:r>
      <w:r w:rsidR="00285576">
        <w:rPr>
          <w:rFonts w:cs="Arial"/>
        </w:rPr>
        <w:t xml:space="preserve">a mailing to or from an ineligible entity, regardless of whether the entity is the subject of a pending application. </w:t>
      </w:r>
      <w:r w:rsidR="00956521">
        <w:rPr>
          <w:rFonts w:cs="Arial"/>
        </w:rPr>
        <w:t xml:space="preserve">Because eligibility is not determined until it is determined, the presumption must necessarily </w:t>
      </w:r>
      <w:r w:rsidR="00ED738E">
        <w:rPr>
          <w:rFonts w:cs="Arial"/>
        </w:rPr>
        <w:t>be that a mailing is ineligible until demonstrated to be eligible, not the other way around.</w:t>
      </w:r>
      <w:r w:rsidR="00B6278A">
        <w:rPr>
          <w:rFonts w:cs="Arial"/>
        </w:rPr>
        <w:t xml:space="preserve"> </w:t>
      </w:r>
      <w:r w:rsidR="00086622">
        <w:rPr>
          <w:rFonts w:cs="Arial"/>
        </w:rPr>
        <w:t>Moreover, t</w:t>
      </w:r>
      <w:r w:rsidR="00E322BA">
        <w:rPr>
          <w:rFonts w:cs="Arial"/>
        </w:rPr>
        <w:t xml:space="preserve">he Postal Service is mindful that </w:t>
      </w:r>
      <w:r w:rsidR="004E6C71">
        <w:rPr>
          <w:rFonts w:cs="Arial"/>
        </w:rPr>
        <w:t xml:space="preserve">the Business/Regulatory Purposes exception is carved out from the general rule that </w:t>
      </w:r>
      <w:r w:rsidR="00862C88">
        <w:rPr>
          <w:rFonts w:cs="Arial"/>
        </w:rPr>
        <w:t>ENDS products “shall not be deposited in or carried through the mails.”</w:t>
      </w:r>
      <w:r w:rsidR="002A0C33">
        <w:rPr>
          <w:rFonts w:cs="Arial"/>
        </w:rPr>
        <w:t xml:space="preserve"> </w:t>
      </w:r>
      <w:r w:rsidR="009E1DD3">
        <w:rPr>
          <w:rFonts w:cs="Arial"/>
          <w:i/>
          <w:iCs/>
        </w:rPr>
        <w:t>Id.</w:t>
      </w:r>
      <w:r w:rsidR="009E1DD3">
        <w:rPr>
          <w:rFonts w:cs="Arial"/>
        </w:rPr>
        <w:t xml:space="preserve"> at (a)(1).</w:t>
      </w:r>
      <w:r w:rsidR="00862C88">
        <w:rPr>
          <w:rFonts w:cs="Arial"/>
        </w:rPr>
        <w:t xml:space="preserve"> </w:t>
      </w:r>
      <w:r w:rsidR="003C4A51">
        <w:rPr>
          <w:rFonts w:cs="Arial"/>
        </w:rPr>
        <w:t xml:space="preserve">As such, </w:t>
      </w:r>
      <w:r w:rsidR="00946145">
        <w:rPr>
          <w:rFonts w:cs="Arial"/>
        </w:rPr>
        <w:t xml:space="preserve">the </w:t>
      </w:r>
      <w:r w:rsidR="00323EE0">
        <w:rPr>
          <w:rFonts w:cs="Arial"/>
        </w:rPr>
        <w:t>narrow construction</w:t>
      </w:r>
      <w:r w:rsidR="00946145">
        <w:rPr>
          <w:rFonts w:cs="Arial"/>
        </w:rPr>
        <w:t xml:space="preserve"> typically due exceptions</w:t>
      </w:r>
      <w:r w:rsidR="00323EE0">
        <w:rPr>
          <w:rFonts w:cs="Arial"/>
        </w:rPr>
        <w:t>, discussed in the preceding section</w:t>
      </w:r>
      <w:r w:rsidR="00946145">
        <w:rPr>
          <w:rFonts w:cs="Arial"/>
        </w:rPr>
        <w:t>, militates against</w:t>
      </w:r>
      <w:r w:rsidR="008A5590">
        <w:rPr>
          <w:rFonts w:cs="Arial"/>
        </w:rPr>
        <w:t xml:space="preserve"> a </w:t>
      </w:r>
      <w:r w:rsidR="006E0C3E">
        <w:rPr>
          <w:rFonts w:cs="Arial"/>
        </w:rPr>
        <w:t xml:space="preserve">liberal </w:t>
      </w:r>
      <w:r w:rsidR="008A5590">
        <w:rPr>
          <w:rFonts w:cs="Arial"/>
        </w:rPr>
        <w:t>presumption of eligibility</w:t>
      </w:r>
      <w:r w:rsidR="006E0C3E">
        <w:rPr>
          <w:rFonts w:cs="Arial"/>
        </w:rPr>
        <w:t xml:space="preserve"> on the sheer basis of a mailer’s self-certification or payment of a bond</w:t>
      </w:r>
      <w:r w:rsidR="00323EE0">
        <w:rPr>
          <w:rFonts w:cs="Arial"/>
        </w:rPr>
        <w:t>.</w:t>
      </w:r>
      <w:r w:rsidR="00CC446B">
        <w:rPr>
          <w:rFonts w:cs="Arial"/>
        </w:rPr>
        <w:t xml:space="preserve"> Even if such a presumption were not inconsistent with the statute, the Postal Service would </w:t>
      </w:r>
      <w:r w:rsidR="00CC446B">
        <w:rPr>
          <w:rFonts w:cs="Arial"/>
        </w:rPr>
        <w:lastRenderedPageBreak/>
        <w:t xml:space="preserve">decline to adopt it </w:t>
      </w:r>
      <w:r w:rsidR="00711BAE">
        <w:rPr>
          <w:rFonts w:cs="Arial"/>
        </w:rPr>
        <w:t>as a policy matter, given the undue opportunity for abuse that it would present</w:t>
      </w:r>
      <w:r w:rsidR="00CC446B">
        <w:rPr>
          <w:rFonts w:cs="Arial"/>
        </w:rPr>
        <w:t>.</w:t>
      </w:r>
    </w:p>
    <w:p w14:paraId="67346D67" w14:textId="417AA3DF" w:rsidR="00CF7852" w:rsidRDefault="0062232B" w:rsidP="001622F8">
      <w:pPr>
        <w:shd w:val="clear" w:color="auto" w:fill="FFFFFF"/>
        <w:ind w:firstLine="720"/>
        <w:rPr>
          <w:rFonts w:cs="Arial"/>
        </w:rPr>
      </w:pPr>
      <w:r>
        <w:rPr>
          <w:rFonts w:cs="Arial"/>
        </w:rPr>
        <w:t xml:space="preserve">The same commenters </w:t>
      </w:r>
      <w:r w:rsidR="00ED7D8C">
        <w:rPr>
          <w:rFonts w:cs="Arial"/>
        </w:rPr>
        <w:t xml:space="preserve">urged the Postal Service to streamline </w:t>
      </w:r>
      <w:r w:rsidR="00D23D45">
        <w:rPr>
          <w:rFonts w:cs="Arial"/>
        </w:rPr>
        <w:t>or eliminate the process for updates to approved applications</w:t>
      </w:r>
      <w:r w:rsidR="00527778">
        <w:rPr>
          <w:rFonts w:cs="Arial"/>
        </w:rPr>
        <w:t>, which</w:t>
      </w:r>
      <w:r w:rsidR="00F22EE6">
        <w:rPr>
          <w:rFonts w:cs="Arial"/>
        </w:rPr>
        <w:t>, the commenters argued, should not require a further application and approval process.</w:t>
      </w:r>
      <w:r w:rsidR="0051638F">
        <w:rPr>
          <w:rFonts w:cs="Arial"/>
        </w:rPr>
        <w:t xml:space="preserve"> The requirements for approval of updated applications were set forth and explained in the Postal Service’s 2010 final rule implementing the PACT Act. As the Postal Service explained then, </w:t>
      </w:r>
      <w:r w:rsidR="00F361FE">
        <w:t xml:space="preserve">the PACT Act charges the Postal Service with verifying the eligibility of senders </w:t>
      </w:r>
      <w:r w:rsidR="00263622">
        <w:t xml:space="preserve">and addressees pursuant to </w:t>
      </w:r>
      <w:r w:rsidR="00F361FE">
        <w:t>the Business/Regulatory Purposes</w:t>
      </w:r>
      <w:r w:rsidR="0051638F">
        <w:rPr>
          <w:rFonts w:cs="Arial"/>
        </w:rPr>
        <w:t xml:space="preserve"> </w:t>
      </w:r>
      <w:r w:rsidR="00F361FE">
        <w:rPr>
          <w:rFonts w:cs="Arial"/>
        </w:rPr>
        <w:t>exception</w:t>
      </w:r>
      <w:r w:rsidR="00CC0C54">
        <w:rPr>
          <w:rFonts w:cs="Arial"/>
        </w:rPr>
        <w:t xml:space="preserve">, and so mailers must be responsible for maintaining the accuracy of all </w:t>
      </w:r>
      <w:r w:rsidR="00CF510B">
        <w:rPr>
          <w:rFonts w:cs="Arial"/>
        </w:rPr>
        <w:t>information in their applicati</w:t>
      </w:r>
      <w:r w:rsidR="00F86E6B">
        <w:rPr>
          <w:rFonts w:cs="Arial"/>
        </w:rPr>
        <w:t xml:space="preserve">ons and await verification of eligibility before </w:t>
      </w:r>
      <w:r w:rsidR="00463966">
        <w:rPr>
          <w:rFonts w:cs="Arial"/>
        </w:rPr>
        <w:t xml:space="preserve">any mailing may be treated as permissible under the exception. 76 </w:t>
      </w:r>
      <w:r w:rsidR="007A54C0">
        <w:rPr>
          <w:rFonts w:cs="Arial"/>
        </w:rPr>
        <w:t>FR</w:t>
      </w:r>
      <w:r w:rsidR="00463966">
        <w:rPr>
          <w:rFonts w:cs="Arial"/>
        </w:rPr>
        <w:t xml:space="preserve"> at </w:t>
      </w:r>
      <w:r w:rsidR="00CB252B">
        <w:rPr>
          <w:rFonts w:cs="Arial"/>
        </w:rPr>
        <w:t>29666.</w:t>
      </w:r>
    </w:p>
    <w:p w14:paraId="07EFCF89" w14:textId="58F17904" w:rsidR="00CF7852" w:rsidRDefault="008515A9" w:rsidP="001622F8">
      <w:pPr>
        <w:shd w:val="clear" w:color="auto" w:fill="FFFFFF"/>
        <w:ind w:firstLine="720"/>
        <w:rPr>
          <w:rFonts w:cs="Arial"/>
        </w:rPr>
      </w:pPr>
      <w:r>
        <w:rPr>
          <w:rFonts w:cs="Arial"/>
        </w:rPr>
        <w:t>Indeed, an update may be just as substantive as the original application</w:t>
      </w:r>
      <w:r w:rsidR="00766491">
        <w:rPr>
          <w:rFonts w:cs="Arial"/>
        </w:rPr>
        <w:t xml:space="preserve"> (e.g., the addition of parties or products)</w:t>
      </w:r>
      <w:r w:rsidR="00B00C7B">
        <w:rPr>
          <w:rFonts w:cs="Arial"/>
        </w:rPr>
        <w:t xml:space="preserve">, and it may materially change circumstances relevant to mailability. Even </w:t>
      </w:r>
      <w:r w:rsidR="00887C9D">
        <w:rPr>
          <w:rFonts w:cs="Arial"/>
        </w:rPr>
        <w:t xml:space="preserve">updates </w:t>
      </w:r>
      <w:r w:rsidR="00DB20F1">
        <w:rPr>
          <w:rFonts w:cs="Arial"/>
        </w:rPr>
        <w:t xml:space="preserve">to a single </w:t>
      </w:r>
      <w:r w:rsidR="00F12B37">
        <w:rPr>
          <w:rFonts w:cs="Arial"/>
        </w:rPr>
        <w:t xml:space="preserve">entry on the form </w:t>
      </w:r>
      <w:r w:rsidR="00766491">
        <w:rPr>
          <w:rFonts w:cs="Arial"/>
        </w:rPr>
        <w:t xml:space="preserve">can be material: a change of address </w:t>
      </w:r>
      <w:r w:rsidR="00CE2666">
        <w:rPr>
          <w:rFonts w:cs="Arial"/>
        </w:rPr>
        <w:t>could be legitimate or used to mask an ineligible party</w:t>
      </w:r>
      <w:r w:rsidR="00F80706">
        <w:rPr>
          <w:rFonts w:cs="Arial"/>
        </w:rPr>
        <w:t xml:space="preserve">; </w:t>
      </w:r>
      <w:r w:rsidR="006C039E">
        <w:rPr>
          <w:rFonts w:cs="Arial"/>
        </w:rPr>
        <w:t xml:space="preserve">“legally operating” status can hinge on rescission or extension of a permit; and </w:t>
      </w:r>
      <w:r w:rsidR="000034C5">
        <w:rPr>
          <w:rFonts w:cs="Arial"/>
        </w:rPr>
        <w:t xml:space="preserve">a change in product composition may </w:t>
      </w:r>
      <w:r w:rsidR="00D25F36">
        <w:rPr>
          <w:rFonts w:cs="Arial"/>
        </w:rPr>
        <w:t xml:space="preserve">change its status vis-à-vis </w:t>
      </w:r>
      <w:r w:rsidR="000034C5">
        <w:rPr>
          <w:rFonts w:cs="Arial"/>
        </w:rPr>
        <w:t xml:space="preserve">controlled-substance or hazardous-materials </w:t>
      </w:r>
      <w:r w:rsidR="00D25F36">
        <w:rPr>
          <w:rFonts w:cs="Arial"/>
        </w:rPr>
        <w:t>rules</w:t>
      </w:r>
      <w:r w:rsidR="006C039E">
        <w:rPr>
          <w:rFonts w:cs="Arial"/>
        </w:rPr>
        <w:t>.</w:t>
      </w:r>
      <w:r w:rsidR="00E4202E">
        <w:rPr>
          <w:rFonts w:cs="Arial"/>
        </w:rPr>
        <w:t xml:space="preserve"> </w:t>
      </w:r>
      <w:r w:rsidR="00F15E0B">
        <w:rPr>
          <w:rFonts w:cs="Arial"/>
        </w:rPr>
        <w:t xml:space="preserve">Vetting </w:t>
      </w:r>
      <w:r w:rsidR="00E4202E">
        <w:rPr>
          <w:rFonts w:cs="Arial"/>
        </w:rPr>
        <w:t>only an initial application but not updates to it would invite</w:t>
      </w:r>
      <w:r w:rsidR="00F15E0B">
        <w:rPr>
          <w:rFonts w:cs="Arial"/>
        </w:rPr>
        <w:t xml:space="preserve"> efforts to evade review through overreliance on unreviewed updates, in violation of both the letter and the spirit of </w:t>
      </w:r>
      <w:r w:rsidR="0079551F">
        <w:rPr>
          <w:rFonts w:cs="Arial"/>
        </w:rPr>
        <w:t>18 U.S.C. 1716E(b)(3)(B)(ii)(I)</w:t>
      </w:r>
      <w:r w:rsidR="007D3848">
        <w:rPr>
          <w:rFonts w:cs="Arial"/>
        </w:rPr>
        <w:t>–</w:t>
      </w:r>
      <w:r w:rsidR="0079551F">
        <w:rPr>
          <w:rFonts w:cs="Arial"/>
        </w:rPr>
        <w:t>(II)</w:t>
      </w:r>
      <w:r w:rsidR="00F15E0B">
        <w:rPr>
          <w:rFonts w:cs="Arial"/>
        </w:rPr>
        <w:t>.</w:t>
      </w:r>
    </w:p>
    <w:p w14:paraId="2EDBDD66" w14:textId="18ED6A9F" w:rsidR="0062232B" w:rsidRDefault="00CB252B" w:rsidP="001622F8">
      <w:pPr>
        <w:shd w:val="clear" w:color="auto" w:fill="FFFFFF"/>
        <w:ind w:firstLine="720"/>
        <w:rPr>
          <w:rFonts w:cs="Arial"/>
        </w:rPr>
      </w:pPr>
      <w:r>
        <w:rPr>
          <w:rFonts w:cs="Arial"/>
        </w:rPr>
        <w:lastRenderedPageBreak/>
        <w:t xml:space="preserve">Nothing about the </w:t>
      </w:r>
      <w:r w:rsidR="00E4202E">
        <w:rPr>
          <w:rFonts w:cs="Arial"/>
        </w:rPr>
        <w:t xml:space="preserve">statutory </w:t>
      </w:r>
      <w:r w:rsidR="00D25F36">
        <w:rPr>
          <w:rFonts w:cs="Arial"/>
        </w:rPr>
        <w:t xml:space="preserve">verification requirement </w:t>
      </w:r>
      <w:r>
        <w:rPr>
          <w:rFonts w:cs="Arial"/>
        </w:rPr>
        <w:t xml:space="preserve">has changed since 2010, and so there is no </w:t>
      </w:r>
      <w:r w:rsidR="00644C03">
        <w:rPr>
          <w:rFonts w:cs="Arial"/>
        </w:rPr>
        <w:t xml:space="preserve">basis to </w:t>
      </w:r>
      <w:r w:rsidR="0079551F">
        <w:rPr>
          <w:rFonts w:cs="Arial"/>
        </w:rPr>
        <w:t>re</w:t>
      </w:r>
      <w:r w:rsidR="00783857">
        <w:rPr>
          <w:rFonts w:cs="Arial"/>
        </w:rPr>
        <w:t>think the need to verify updated applications.</w:t>
      </w:r>
      <w:r w:rsidR="00EE6DC6">
        <w:rPr>
          <w:rFonts w:cs="Arial"/>
        </w:rPr>
        <w:t xml:space="preserve"> That said, </w:t>
      </w:r>
      <w:r w:rsidR="00971221">
        <w:rPr>
          <w:rFonts w:cs="Arial"/>
        </w:rPr>
        <w:t xml:space="preserve">as noted </w:t>
      </w:r>
      <w:r w:rsidR="00E86A43">
        <w:rPr>
          <w:rFonts w:cs="Arial"/>
        </w:rPr>
        <w:t>earlier</w:t>
      </w:r>
      <w:r w:rsidR="00971221">
        <w:rPr>
          <w:rFonts w:cs="Arial"/>
        </w:rPr>
        <w:t xml:space="preserve">, the Postal Service will undertake to </w:t>
      </w:r>
      <w:r w:rsidR="00D84699">
        <w:rPr>
          <w:rFonts w:cs="Arial"/>
        </w:rPr>
        <w:t>explore possibilities for streamlining the application process, including updates to applications, through automation and digitization.</w:t>
      </w:r>
    </w:p>
    <w:p w14:paraId="782DBDE9" w14:textId="6720099C" w:rsidR="006E0C3E" w:rsidRDefault="00C354C0" w:rsidP="001622F8">
      <w:pPr>
        <w:shd w:val="clear" w:color="auto" w:fill="FFFFFF"/>
        <w:ind w:firstLine="720"/>
        <w:rPr>
          <w:rFonts w:cs="Arial"/>
        </w:rPr>
      </w:pPr>
      <w:r>
        <w:rPr>
          <w:rFonts w:cs="Arial"/>
        </w:rPr>
        <w:t xml:space="preserve">Some pro-ENDS commenters opined that </w:t>
      </w:r>
      <w:r w:rsidR="005E27BE">
        <w:rPr>
          <w:rFonts w:cs="Arial"/>
        </w:rPr>
        <w:t xml:space="preserve">the centralized application process imposes red tape that favors </w:t>
      </w:r>
      <w:r w:rsidR="0074771B">
        <w:rPr>
          <w:rFonts w:cs="Arial"/>
        </w:rPr>
        <w:t>large industry actors</w:t>
      </w:r>
      <w:r w:rsidR="00CE187E">
        <w:rPr>
          <w:rFonts w:cs="Arial"/>
        </w:rPr>
        <w:t xml:space="preserve"> and poses undue obstacles to smaller businesses. </w:t>
      </w:r>
      <w:r w:rsidR="00F33A13">
        <w:rPr>
          <w:rFonts w:cs="Arial"/>
        </w:rPr>
        <w:t xml:space="preserve">While the Postal Service is sympathetic to the challenges faced by small and medium-sized enterprises, </w:t>
      </w:r>
      <w:r w:rsidR="00F40718">
        <w:rPr>
          <w:rFonts w:cs="Arial"/>
        </w:rPr>
        <w:t xml:space="preserve">Congress has mandated that use of the Business/Regulatory Purposes exception be conditioned on Postal Service verification of eligibility. The </w:t>
      </w:r>
      <w:r w:rsidR="002C55B0">
        <w:rPr>
          <w:rFonts w:cs="Arial"/>
        </w:rPr>
        <w:t xml:space="preserve">PACT Act’s verification requirements apply </w:t>
      </w:r>
      <w:r w:rsidR="00C1199F">
        <w:rPr>
          <w:rFonts w:cs="Arial"/>
        </w:rPr>
        <w:t xml:space="preserve">to all entities sending or receiving items under the exception, without distinction </w:t>
      </w:r>
      <w:r w:rsidR="002C55B0">
        <w:rPr>
          <w:rFonts w:cs="Arial"/>
        </w:rPr>
        <w:t xml:space="preserve">as </w:t>
      </w:r>
      <w:r w:rsidR="00C1199F">
        <w:rPr>
          <w:rFonts w:cs="Arial"/>
        </w:rPr>
        <w:t>to size</w:t>
      </w:r>
      <w:r w:rsidR="00D83C2A">
        <w:rPr>
          <w:rFonts w:cs="Arial"/>
        </w:rPr>
        <w:t>.</w:t>
      </w:r>
      <w:r w:rsidR="005B5081">
        <w:rPr>
          <w:rFonts w:cs="Arial"/>
        </w:rPr>
        <w:t xml:space="preserve"> The Postal Service considers the alternative to centralized verification—verification at the point of acceptance and delivery of each mailing—to pose </w:t>
      </w:r>
      <w:r w:rsidR="008B4903">
        <w:rPr>
          <w:rFonts w:cs="Arial"/>
        </w:rPr>
        <w:t xml:space="preserve">similar obstacles in terms of paperwork burden, as the </w:t>
      </w:r>
      <w:r w:rsidR="009620E6">
        <w:rPr>
          <w:rFonts w:cs="Arial"/>
        </w:rPr>
        <w:t xml:space="preserve">sender or recipient would still need to compile and present the </w:t>
      </w:r>
      <w:r w:rsidR="008B4903">
        <w:rPr>
          <w:rFonts w:cs="Arial"/>
        </w:rPr>
        <w:t xml:space="preserve">same </w:t>
      </w:r>
      <w:r w:rsidR="009620E6">
        <w:rPr>
          <w:rFonts w:cs="Arial"/>
        </w:rPr>
        <w:t xml:space="preserve">license, permit, and other </w:t>
      </w:r>
      <w:r w:rsidR="008B4903">
        <w:rPr>
          <w:rFonts w:cs="Arial"/>
        </w:rPr>
        <w:t xml:space="preserve">documentation </w:t>
      </w:r>
      <w:r w:rsidR="009620E6">
        <w:rPr>
          <w:rFonts w:cs="Arial"/>
        </w:rPr>
        <w:t xml:space="preserve">to demonstrate eligibility. The only difference would be that the sender and recipient would have to do so for </w:t>
      </w:r>
      <w:proofErr w:type="gramStart"/>
      <w:r w:rsidR="009620E6">
        <w:rPr>
          <w:rFonts w:cs="Arial"/>
        </w:rPr>
        <w:t xml:space="preserve">each </w:t>
      </w:r>
      <w:r w:rsidR="002C55B0">
        <w:rPr>
          <w:rFonts w:cs="Arial"/>
        </w:rPr>
        <w:t>and every</w:t>
      </w:r>
      <w:proofErr w:type="gramEnd"/>
      <w:r w:rsidR="002C55B0">
        <w:rPr>
          <w:rFonts w:cs="Arial"/>
        </w:rPr>
        <w:t xml:space="preserve"> </w:t>
      </w:r>
      <w:r w:rsidR="009620E6">
        <w:rPr>
          <w:rFonts w:cs="Arial"/>
        </w:rPr>
        <w:t xml:space="preserve">mailing, rather than </w:t>
      </w:r>
      <w:r w:rsidR="008519DA">
        <w:rPr>
          <w:rFonts w:cs="Arial"/>
        </w:rPr>
        <w:t xml:space="preserve">on a less frequent basis under the centralized process. It is difficult to see how the decentralized-verification alternative would </w:t>
      </w:r>
      <w:r w:rsidR="00C11B17">
        <w:rPr>
          <w:rFonts w:cs="Arial"/>
        </w:rPr>
        <w:t>be superior in terms of reducing administrative burden for small and medium-sized enterprises, given Congress’s requirement of eligibility verification in all cases.</w:t>
      </w:r>
      <w:r w:rsidR="00544020">
        <w:rPr>
          <w:rFonts w:cs="Arial"/>
        </w:rPr>
        <w:t xml:space="preserve"> That said, </w:t>
      </w:r>
      <w:r w:rsidR="004B4042">
        <w:rPr>
          <w:rFonts w:cs="Arial"/>
        </w:rPr>
        <w:t xml:space="preserve">smaller businesses may benefit from proportionally faster </w:t>
      </w:r>
      <w:r w:rsidR="004B4042">
        <w:rPr>
          <w:rFonts w:cs="Arial"/>
        </w:rPr>
        <w:lastRenderedPageBreak/>
        <w:t>processing times</w:t>
      </w:r>
      <w:r w:rsidR="0055507C">
        <w:rPr>
          <w:rFonts w:cs="Arial"/>
        </w:rPr>
        <w:t xml:space="preserve"> (within the bounds of application processing as discussed </w:t>
      </w:r>
      <w:r w:rsidR="00E86A43">
        <w:rPr>
          <w:rFonts w:cs="Arial"/>
        </w:rPr>
        <w:t>later in this section</w:t>
      </w:r>
      <w:r w:rsidR="0055507C">
        <w:rPr>
          <w:rFonts w:cs="Arial"/>
        </w:rPr>
        <w:t>)</w:t>
      </w:r>
      <w:r w:rsidR="004B4042">
        <w:rPr>
          <w:rFonts w:cs="Arial"/>
        </w:rPr>
        <w:t xml:space="preserve">, to the extent that their </w:t>
      </w:r>
      <w:r w:rsidR="004D2617">
        <w:rPr>
          <w:rFonts w:cs="Arial"/>
        </w:rPr>
        <w:t>applications involve fewer parties and products than those of larger businesses.</w:t>
      </w:r>
      <w:r w:rsidR="001619C9" w:rsidDel="001619C9">
        <w:rPr>
          <w:rStyle w:val="FootnoteReference"/>
          <w:rFonts w:cs="Arial"/>
        </w:rPr>
        <w:t xml:space="preserve"> </w:t>
      </w:r>
    </w:p>
    <w:p w14:paraId="0EB01A97" w14:textId="31B8222E" w:rsidR="0058122E" w:rsidRDefault="00C102EA" w:rsidP="001622F8">
      <w:pPr>
        <w:shd w:val="clear" w:color="auto" w:fill="FFFFFF"/>
        <w:ind w:firstLine="720"/>
        <w:rPr>
          <w:rFonts w:cs="Arial"/>
        </w:rPr>
      </w:pPr>
      <w:r>
        <w:rPr>
          <w:rFonts w:cs="Arial"/>
        </w:rPr>
        <w:t xml:space="preserve">Two ENDS industry commenters </w:t>
      </w:r>
      <w:r w:rsidR="00CF0469">
        <w:rPr>
          <w:rFonts w:cs="Arial"/>
        </w:rPr>
        <w:t xml:space="preserve">suggested that the Postal Service provide a checklist for </w:t>
      </w:r>
      <w:r w:rsidR="00DB5D93">
        <w:rPr>
          <w:rFonts w:cs="Arial"/>
        </w:rPr>
        <w:t xml:space="preserve">applicant documentation. </w:t>
      </w:r>
      <w:r w:rsidR="006B2297">
        <w:rPr>
          <w:rFonts w:cs="Arial"/>
        </w:rPr>
        <w:t xml:space="preserve">Simultaneously to the final rule, the Postal Service is </w:t>
      </w:r>
      <w:r w:rsidR="006D56A1">
        <w:rPr>
          <w:rFonts w:cs="Arial"/>
        </w:rPr>
        <w:t xml:space="preserve">issuing a distinct version of its </w:t>
      </w:r>
      <w:r w:rsidR="006B2297">
        <w:rPr>
          <w:rFonts w:cs="Arial"/>
        </w:rPr>
        <w:t>application form</w:t>
      </w:r>
      <w:r w:rsidR="00FE7E73">
        <w:rPr>
          <w:rFonts w:cs="Arial"/>
        </w:rPr>
        <w:t xml:space="preserve"> to account for ENDS products. The amended form </w:t>
      </w:r>
      <w:r w:rsidR="00CE1433">
        <w:rPr>
          <w:rFonts w:cs="Arial"/>
        </w:rPr>
        <w:t>will include detailed instructions and documentation requirements, as well as supporting worksheets.</w:t>
      </w:r>
    </w:p>
    <w:p w14:paraId="1CEA3C31" w14:textId="742DD66C" w:rsidR="00130CE7" w:rsidRDefault="00544020" w:rsidP="001622F8">
      <w:pPr>
        <w:shd w:val="clear" w:color="auto" w:fill="FFFFFF"/>
        <w:ind w:firstLine="720"/>
        <w:rPr>
          <w:rFonts w:cs="Arial"/>
        </w:rPr>
      </w:pPr>
      <w:r>
        <w:rPr>
          <w:rFonts w:cs="Arial"/>
        </w:rPr>
        <w:t>T</w:t>
      </w:r>
      <w:r w:rsidR="00130CE7">
        <w:rPr>
          <w:rFonts w:cs="Arial"/>
        </w:rPr>
        <w:t xml:space="preserve">wo ENDS industry commenters requested that the Postal Service </w:t>
      </w:r>
      <w:r w:rsidR="005369F3">
        <w:rPr>
          <w:rFonts w:cs="Arial"/>
        </w:rPr>
        <w:t>confirm that it would process applications on a “first in, first out” (FIFO) basis</w:t>
      </w:r>
      <w:r>
        <w:rPr>
          <w:rFonts w:cs="Arial"/>
        </w:rPr>
        <w:t>, in the interest of equal treatment for all businesses.</w:t>
      </w:r>
      <w:r w:rsidR="00AD3202">
        <w:rPr>
          <w:rFonts w:cs="Arial"/>
        </w:rPr>
        <w:t xml:space="preserve"> </w:t>
      </w:r>
      <w:r w:rsidR="00155040">
        <w:rPr>
          <w:rFonts w:cs="Arial"/>
        </w:rPr>
        <w:t xml:space="preserve">The </w:t>
      </w:r>
      <w:r w:rsidR="00363B60">
        <w:rPr>
          <w:rFonts w:cs="Arial"/>
        </w:rPr>
        <w:t xml:space="preserve">PCSC </w:t>
      </w:r>
      <w:r w:rsidR="00155040">
        <w:rPr>
          <w:rFonts w:cs="Arial"/>
        </w:rPr>
        <w:t xml:space="preserve">generally </w:t>
      </w:r>
      <w:r w:rsidR="00B34A5F">
        <w:rPr>
          <w:rFonts w:cs="Arial"/>
        </w:rPr>
        <w:t xml:space="preserve">uses a FIFO system </w:t>
      </w:r>
      <w:r w:rsidR="00C72ED9">
        <w:rPr>
          <w:rFonts w:cs="Arial"/>
        </w:rPr>
        <w:t xml:space="preserve">for each stage of application </w:t>
      </w:r>
      <w:r w:rsidR="00C72ED9" w:rsidRPr="007654DD">
        <w:rPr>
          <w:rFonts w:cs="Arial"/>
        </w:rPr>
        <w:t>processing</w:t>
      </w:r>
      <w:r w:rsidR="00B34A5F" w:rsidRPr="007654DD">
        <w:rPr>
          <w:rFonts w:cs="Arial"/>
        </w:rPr>
        <w:t xml:space="preserve">, </w:t>
      </w:r>
      <w:r w:rsidR="00B34A5F" w:rsidRPr="000D12D0">
        <w:rPr>
          <w:rFonts w:cs="Arial"/>
        </w:rPr>
        <w:t xml:space="preserve">although the precise sequencing of application processing may be complicated </w:t>
      </w:r>
      <w:r w:rsidR="00E34A0D" w:rsidRPr="000D12D0">
        <w:rPr>
          <w:rFonts w:cs="Arial"/>
        </w:rPr>
        <w:t xml:space="preserve">somewhat </w:t>
      </w:r>
      <w:r w:rsidR="00B34A5F" w:rsidRPr="000D12D0">
        <w:rPr>
          <w:rFonts w:cs="Arial"/>
        </w:rPr>
        <w:t>by the expanded distribution of workload discussed earlier in this section.</w:t>
      </w:r>
      <w:r w:rsidR="00E34A0D" w:rsidRPr="000D12D0">
        <w:rPr>
          <w:rStyle w:val="FootnoteReference"/>
          <w:rFonts w:cs="Arial"/>
        </w:rPr>
        <w:footnoteReference w:id="21"/>
      </w:r>
      <w:r w:rsidR="00885F8B" w:rsidRPr="007654DD">
        <w:rPr>
          <w:rFonts w:cs="Arial"/>
        </w:rPr>
        <w:t xml:space="preserve"> </w:t>
      </w:r>
      <w:r w:rsidR="00E222AF" w:rsidRPr="007654DD">
        <w:rPr>
          <w:rFonts w:cs="Arial"/>
        </w:rPr>
        <w:t>It</w:t>
      </w:r>
      <w:r w:rsidR="00E222AF">
        <w:rPr>
          <w:rFonts w:cs="Arial"/>
        </w:rPr>
        <w:t xml:space="preserve"> is certainly not the case that applications will be prioritized according to business size, industry reputation, or other </w:t>
      </w:r>
      <w:r w:rsidR="00786339">
        <w:rPr>
          <w:rFonts w:cs="Arial"/>
        </w:rPr>
        <w:t>applicant-specific circumstances</w:t>
      </w:r>
      <w:r w:rsidR="00E222AF">
        <w:rPr>
          <w:rFonts w:cs="Arial"/>
        </w:rPr>
        <w:t>.</w:t>
      </w:r>
    </w:p>
    <w:p w14:paraId="0EA9C91B" w14:textId="226B2506" w:rsidR="00083613" w:rsidRDefault="00D6794D" w:rsidP="001622F8">
      <w:pPr>
        <w:shd w:val="clear" w:color="auto" w:fill="FFFFFF"/>
        <w:ind w:firstLine="720"/>
        <w:rPr>
          <w:rFonts w:cs="Arial"/>
        </w:rPr>
      </w:pPr>
      <w:r>
        <w:rPr>
          <w:rFonts w:cs="Arial"/>
        </w:rPr>
        <w:t xml:space="preserve">State </w:t>
      </w:r>
      <w:r w:rsidR="00C864C3">
        <w:rPr>
          <w:rFonts w:cs="Arial"/>
        </w:rPr>
        <w:t xml:space="preserve">and local </w:t>
      </w:r>
      <w:r>
        <w:rPr>
          <w:rFonts w:cs="Arial"/>
        </w:rPr>
        <w:t xml:space="preserve">attorneys general proposed that the Postal Service share </w:t>
      </w:r>
      <w:r w:rsidR="00EE0D4D">
        <w:rPr>
          <w:rFonts w:cs="Arial"/>
        </w:rPr>
        <w:t xml:space="preserve">applications with </w:t>
      </w:r>
      <w:r w:rsidR="002E2C96">
        <w:rPr>
          <w:rFonts w:cs="Arial"/>
        </w:rPr>
        <w:t xml:space="preserve">State and local law enforcement </w:t>
      </w:r>
      <w:r w:rsidR="00035DEC">
        <w:rPr>
          <w:rFonts w:cs="Arial"/>
        </w:rPr>
        <w:t xml:space="preserve">officials to spread out </w:t>
      </w:r>
      <w:r w:rsidR="003819C7">
        <w:rPr>
          <w:rFonts w:cs="Arial"/>
        </w:rPr>
        <w:t xml:space="preserve">the investigative workload. </w:t>
      </w:r>
      <w:r w:rsidR="00D01CCC">
        <w:rPr>
          <w:rFonts w:cs="Arial"/>
        </w:rPr>
        <w:t xml:space="preserve">The Postal Service appreciates the suggestion and is willing to consider </w:t>
      </w:r>
      <w:r w:rsidR="002432D3">
        <w:rPr>
          <w:rFonts w:cs="Arial"/>
        </w:rPr>
        <w:t xml:space="preserve">possibilities for </w:t>
      </w:r>
      <w:r w:rsidR="00371DE2">
        <w:rPr>
          <w:rFonts w:cs="Arial"/>
        </w:rPr>
        <w:t xml:space="preserve">enhancing application processing via </w:t>
      </w:r>
      <w:r w:rsidR="00371DE2">
        <w:rPr>
          <w:rFonts w:cs="Arial"/>
        </w:rPr>
        <w:lastRenderedPageBreak/>
        <w:t>intergovernmental and/or interagency information-sharing</w:t>
      </w:r>
      <w:r w:rsidR="00576A82">
        <w:rPr>
          <w:rFonts w:cs="Arial"/>
        </w:rPr>
        <w:t xml:space="preserve">, subject to </w:t>
      </w:r>
      <w:r w:rsidR="004D5D25">
        <w:rPr>
          <w:rFonts w:cs="Arial"/>
        </w:rPr>
        <w:t>feasibility</w:t>
      </w:r>
      <w:r w:rsidR="005B1E3F">
        <w:rPr>
          <w:rFonts w:cs="Arial"/>
        </w:rPr>
        <w:t xml:space="preserve">, appropriate protections </w:t>
      </w:r>
      <w:r w:rsidR="008E7909">
        <w:rPr>
          <w:rFonts w:cs="Arial"/>
        </w:rPr>
        <w:t xml:space="preserve">for third-party information, and other pertinent conditions. </w:t>
      </w:r>
      <w:r w:rsidR="005342AA">
        <w:rPr>
          <w:rFonts w:cs="Arial"/>
        </w:rPr>
        <w:t xml:space="preserve">The Postal Service regards such intergovernmental cooperation as part of what should be the normal administration of the PACT Act, </w:t>
      </w:r>
      <w:r w:rsidR="005342AA" w:rsidRPr="00AF27CF">
        <w:rPr>
          <w:rFonts w:cs="Arial"/>
        </w:rPr>
        <w:t>see</w:t>
      </w:r>
      <w:r w:rsidR="005342AA">
        <w:rPr>
          <w:rFonts w:cs="Arial"/>
        </w:rPr>
        <w:t xml:space="preserve"> 18 U.S.C. 1716E(g), and </w:t>
      </w:r>
      <w:r w:rsidR="00170EE9">
        <w:rPr>
          <w:rFonts w:cs="Arial"/>
        </w:rPr>
        <w:t>looks forward to further dialogue with partners outside of the ambit of this rulemaking</w:t>
      </w:r>
      <w:r w:rsidR="005342AA">
        <w:rPr>
          <w:rFonts w:cs="Arial"/>
        </w:rPr>
        <w:t>.</w:t>
      </w:r>
    </w:p>
    <w:p w14:paraId="60A6A7C4" w14:textId="257BA887" w:rsidR="00170EE9" w:rsidRDefault="00A27BA2" w:rsidP="001622F8">
      <w:pPr>
        <w:shd w:val="clear" w:color="auto" w:fill="FFFFFF"/>
        <w:ind w:firstLine="720"/>
        <w:rPr>
          <w:rFonts w:cs="Arial"/>
        </w:rPr>
      </w:pPr>
      <w:r>
        <w:rPr>
          <w:rFonts w:cs="Arial"/>
        </w:rPr>
        <w:t xml:space="preserve">State </w:t>
      </w:r>
      <w:r w:rsidR="00C864C3">
        <w:rPr>
          <w:rFonts w:cs="Arial"/>
        </w:rPr>
        <w:t xml:space="preserve">and local </w:t>
      </w:r>
      <w:r>
        <w:rPr>
          <w:rFonts w:cs="Arial"/>
        </w:rPr>
        <w:t xml:space="preserve">attorneys general also proposed that the Postal Service use </w:t>
      </w:r>
      <w:r w:rsidR="00F9429F">
        <w:rPr>
          <w:rFonts w:cs="Arial"/>
        </w:rPr>
        <w:t xml:space="preserve">State and local governments’ lists of </w:t>
      </w:r>
      <w:r w:rsidR="00C006A1">
        <w:rPr>
          <w:rFonts w:cs="Arial"/>
        </w:rPr>
        <w:t xml:space="preserve">licensees to verify eligibility. </w:t>
      </w:r>
      <w:r w:rsidR="00CE2232">
        <w:rPr>
          <w:rFonts w:cs="Arial"/>
        </w:rPr>
        <w:t xml:space="preserve">This suggestion is facially reasonable, but the Postal Service is unaware of any consolidated data source that </w:t>
      </w:r>
      <w:r w:rsidR="0079581C">
        <w:rPr>
          <w:rFonts w:cs="Arial"/>
        </w:rPr>
        <w:t xml:space="preserve">would enable efficient </w:t>
      </w:r>
      <w:r w:rsidR="006178EB">
        <w:rPr>
          <w:rFonts w:cs="Arial"/>
        </w:rPr>
        <w:t xml:space="preserve">and fair </w:t>
      </w:r>
      <w:r w:rsidR="0079581C">
        <w:rPr>
          <w:rFonts w:cs="Arial"/>
        </w:rPr>
        <w:t xml:space="preserve">incorporation of such a resource into </w:t>
      </w:r>
      <w:r w:rsidR="00100A58">
        <w:rPr>
          <w:rFonts w:cs="Arial"/>
        </w:rPr>
        <w:t xml:space="preserve">the application review process. </w:t>
      </w:r>
      <w:r w:rsidR="00222B86">
        <w:rPr>
          <w:rFonts w:cs="Arial"/>
        </w:rPr>
        <w:t>Here, too, the Postal Service welcomes further dialogue with its intergovernmental partners about potential enhancements to PACT Act administration.</w:t>
      </w:r>
    </w:p>
    <w:p w14:paraId="4E0AD099" w14:textId="5E7DC79C" w:rsidR="004520A3" w:rsidRPr="006F5D98" w:rsidRDefault="008708FA" w:rsidP="00FE6779">
      <w:pPr>
        <w:ind w:left="720" w:firstLine="720"/>
        <w:rPr>
          <w:bCs/>
        </w:rPr>
      </w:pPr>
      <w:r w:rsidRPr="00FE6779">
        <w:rPr>
          <w:b/>
          <w:bCs/>
        </w:rPr>
        <w:t>4.</w:t>
      </w:r>
      <w:r w:rsidRPr="00FE6779">
        <w:rPr>
          <w:b/>
          <w:bCs/>
        </w:rPr>
        <w:tab/>
      </w:r>
      <w:bookmarkStart w:id="35" w:name="_Toc79569820"/>
      <w:r w:rsidR="004520A3" w:rsidRPr="00FE6779">
        <w:rPr>
          <w:b/>
          <w:bCs/>
        </w:rPr>
        <w:t>Documentation of Legal</w:t>
      </w:r>
      <w:r w:rsidR="00874000" w:rsidRPr="00FE6779">
        <w:rPr>
          <w:b/>
          <w:bCs/>
        </w:rPr>
        <w:t>ly Operating</w:t>
      </w:r>
      <w:r w:rsidR="004520A3" w:rsidRPr="00FE6779">
        <w:rPr>
          <w:b/>
          <w:bCs/>
        </w:rPr>
        <w:t xml:space="preserve"> Status</w:t>
      </w:r>
      <w:bookmarkEnd w:id="35"/>
    </w:p>
    <w:p w14:paraId="284653D0" w14:textId="79BD2D76" w:rsidR="007F3225" w:rsidRDefault="0028127E" w:rsidP="000226CE">
      <w:pPr>
        <w:shd w:val="clear" w:color="auto" w:fill="FFFFFF"/>
        <w:ind w:firstLine="720"/>
        <w:rPr>
          <w:rFonts w:cs="Arial"/>
        </w:rPr>
      </w:pPr>
      <w:r>
        <w:rPr>
          <w:rFonts w:cs="Arial"/>
        </w:rPr>
        <w:t>To support verification of eligibility as legally operating under 18 U.S.C. 1716E(b)(3)(A)</w:t>
      </w:r>
      <w:r w:rsidR="000226CE">
        <w:rPr>
          <w:rFonts w:cs="Arial"/>
        </w:rPr>
        <w:t xml:space="preserve"> and (b)(3)(B)(ii)(I),</w:t>
      </w:r>
      <w:r>
        <w:rPr>
          <w:rFonts w:cs="Arial"/>
        </w:rPr>
        <w:t xml:space="preserve"> </w:t>
      </w:r>
      <w:r w:rsidR="000226CE">
        <w:rPr>
          <w:rFonts w:cs="Arial"/>
        </w:rPr>
        <w:t>p</w:t>
      </w:r>
      <w:r w:rsidR="00500FC2">
        <w:rPr>
          <w:rFonts w:cs="Arial"/>
        </w:rPr>
        <w:t>reexisting Publication 52 section 472.221</w:t>
      </w:r>
      <w:r w:rsidR="00A50DA2">
        <w:rPr>
          <w:rFonts w:cs="Arial"/>
        </w:rPr>
        <w:t>.</w:t>
      </w:r>
      <w:r>
        <w:rPr>
          <w:rFonts w:cs="Arial"/>
        </w:rPr>
        <w:t>a</w:t>
      </w:r>
      <w:r w:rsidR="000226CE">
        <w:rPr>
          <w:rFonts w:cs="Arial"/>
        </w:rPr>
        <w:t xml:space="preserve"> required an applicant to submit i</w:t>
      </w:r>
      <w:r w:rsidR="000226CE" w:rsidRPr="000226CE">
        <w:rPr>
          <w:rFonts w:cs="Arial"/>
        </w:rPr>
        <w:t xml:space="preserve">nformation about </w:t>
      </w:r>
      <w:r w:rsidR="000226CE">
        <w:rPr>
          <w:rFonts w:cs="Arial"/>
        </w:rPr>
        <w:t xml:space="preserve">its </w:t>
      </w:r>
      <w:r w:rsidR="000226CE" w:rsidRPr="000226CE">
        <w:rPr>
          <w:rFonts w:cs="Arial"/>
        </w:rPr>
        <w:t>legal status, any applicable licenses, and authority under which it operates;</w:t>
      </w:r>
      <w:r w:rsidR="000226CE">
        <w:rPr>
          <w:rFonts w:cs="Arial"/>
        </w:rPr>
        <w:t xml:space="preserve"> i</w:t>
      </w:r>
      <w:r w:rsidR="000226CE" w:rsidRPr="000226CE">
        <w:rPr>
          <w:rFonts w:cs="Arial"/>
        </w:rPr>
        <w:t xml:space="preserve">nformation about the legal status, any applicable licenses, and operational authority for all entities to which the applicant‘s mailings under </w:t>
      </w:r>
      <w:r w:rsidR="000226CE">
        <w:rPr>
          <w:rFonts w:cs="Arial"/>
        </w:rPr>
        <w:t xml:space="preserve">the </w:t>
      </w:r>
      <w:r w:rsidR="000226CE" w:rsidRPr="000226CE">
        <w:rPr>
          <w:rFonts w:cs="Arial"/>
        </w:rPr>
        <w:t xml:space="preserve">exception </w:t>
      </w:r>
      <w:r w:rsidR="000226CE">
        <w:rPr>
          <w:rFonts w:cs="Arial"/>
        </w:rPr>
        <w:t xml:space="preserve">would </w:t>
      </w:r>
      <w:r w:rsidR="000226CE" w:rsidRPr="000226CE">
        <w:rPr>
          <w:rFonts w:cs="Arial"/>
        </w:rPr>
        <w:t>be addressed; and</w:t>
      </w:r>
      <w:r w:rsidR="000226CE">
        <w:rPr>
          <w:rFonts w:cs="Arial"/>
        </w:rPr>
        <w:t xml:space="preserve"> a</w:t>
      </w:r>
      <w:r w:rsidR="000226CE" w:rsidRPr="000226CE">
        <w:rPr>
          <w:rFonts w:cs="Arial"/>
        </w:rPr>
        <w:t>ll</w:t>
      </w:r>
      <w:r w:rsidR="000226CE">
        <w:rPr>
          <w:rFonts w:cs="Arial"/>
        </w:rPr>
        <w:t xml:space="preserve"> </w:t>
      </w:r>
      <w:r w:rsidR="000226CE" w:rsidRPr="000226CE">
        <w:rPr>
          <w:rFonts w:cs="Arial"/>
        </w:rPr>
        <w:t xml:space="preserve">locations where mail containing cigarettes and smokeless tobacco </w:t>
      </w:r>
      <w:r w:rsidR="00424A0D">
        <w:rPr>
          <w:rFonts w:cs="Arial"/>
        </w:rPr>
        <w:t>would</w:t>
      </w:r>
      <w:r w:rsidR="000226CE" w:rsidRPr="000226CE">
        <w:rPr>
          <w:rFonts w:cs="Arial"/>
        </w:rPr>
        <w:t xml:space="preserve"> be presented.</w:t>
      </w:r>
    </w:p>
    <w:p w14:paraId="0B0055CB" w14:textId="1D4B92F2" w:rsidR="00831EF2" w:rsidRDefault="00623597" w:rsidP="000226CE">
      <w:pPr>
        <w:shd w:val="clear" w:color="auto" w:fill="FFFFFF"/>
        <w:ind w:firstLine="720"/>
        <w:rPr>
          <w:rFonts w:cs="Arial"/>
        </w:rPr>
      </w:pPr>
      <w:r>
        <w:rPr>
          <w:rFonts w:cs="Arial"/>
        </w:rPr>
        <w:lastRenderedPageBreak/>
        <w:t xml:space="preserve">Some ENDS industry stakeholders expressed concern that the documentation requirements were geared </w:t>
      </w:r>
      <w:r w:rsidR="007508D0">
        <w:rPr>
          <w:rFonts w:cs="Arial"/>
        </w:rPr>
        <w:t xml:space="preserve">exclusively toward tobacco licensing and would prejudice mailers of non-nicotine-related ENDS products. This concern is unfounded. </w:t>
      </w:r>
      <w:r w:rsidR="00A45EF1">
        <w:rPr>
          <w:rFonts w:cs="Arial"/>
        </w:rPr>
        <w:t>Nothing in either 18 U.S.C. 1716E(b)(3)(A) or Publication 52 section 472.221</w:t>
      </w:r>
      <w:r w:rsidR="00424A0D">
        <w:rPr>
          <w:rFonts w:cs="Arial"/>
        </w:rPr>
        <w:t>.</w:t>
      </w:r>
      <w:r w:rsidR="00A45EF1">
        <w:rPr>
          <w:rFonts w:cs="Arial"/>
        </w:rPr>
        <w:t xml:space="preserve">a </w:t>
      </w:r>
      <w:r w:rsidR="002005C0">
        <w:rPr>
          <w:rFonts w:cs="Arial"/>
        </w:rPr>
        <w:t xml:space="preserve">is specific to tobacco or nicotine licensing. Instead, the statute conditions eligibility on the sender and recipient having “all </w:t>
      </w:r>
      <w:r w:rsidR="002005C0" w:rsidRPr="00D132B0">
        <w:rPr>
          <w:rFonts w:cs="Arial"/>
          <w:u w:val="single"/>
        </w:rPr>
        <w:t>applicable</w:t>
      </w:r>
      <w:r w:rsidR="002005C0">
        <w:rPr>
          <w:rFonts w:cs="Arial"/>
        </w:rPr>
        <w:t xml:space="preserve"> State and Federal Government licenses or permits</w:t>
      </w:r>
      <w:r w:rsidR="00D132B0">
        <w:rPr>
          <w:rFonts w:cs="Arial"/>
        </w:rPr>
        <w:t>”</w:t>
      </w:r>
      <w:r w:rsidR="00F11146">
        <w:rPr>
          <w:rFonts w:cs="Arial"/>
        </w:rPr>
        <w:t>:</w:t>
      </w:r>
      <w:r w:rsidR="00D132B0">
        <w:rPr>
          <w:rFonts w:cs="Arial"/>
        </w:rPr>
        <w:t xml:space="preserve"> </w:t>
      </w:r>
      <w:r w:rsidR="00EF6D8B">
        <w:rPr>
          <w:rFonts w:cs="Arial"/>
        </w:rPr>
        <w:t xml:space="preserve">in other words, any license or permits that entitle the sender or recipient to engage in business activities relating to the product being shipped, whatever </w:t>
      </w:r>
      <w:r w:rsidR="00F11146">
        <w:rPr>
          <w:rFonts w:cs="Arial"/>
        </w:rPr>
        <w:t xml:space="preserve">that product </w:t>
      </w:r>
      <w:r w:rsidR="00716452">
        <w:rPr>
          <w:rFonts w:cs="Arial"/>
        </w:rPr>
        <w:t>may be. 18 U.S.C. 1716E(b)(3)(A) (emphasis added). Similarly, Publication 52 section 472.221</w:t>
      </w:r>
      <w:r w:rsidR="00215415">
        <w:rPr>
          <w:rFonts w:cs="Arial"/>
        </w:rPr>
        <w:t>.</w:t>
      </w:r>
      <w:r w:rsidR="00716452">
        <w:rPr>
          <w:rFonts w:cs="Arial"/>
        </w:rPr>
        <w:t xml:space="preserve">a </w:t>
      </w:r>
      <w:r w:rsidR="005A54DD">
        <w:rPr>
          <w:rFonts w:cs="Arial"/>
        </w:rPr>
        <w:t>frames the documentation requirements solely in terms of licenses, permits, and authority, without specific reference to tobacco or nicotine</w:t>
      </w:r>
      <w:r w:rsidR="00215415">
        <w:rPr>
          <w:rFonts w:cs="Arial"/>
        </w:rPr>
        <w:t xml:space="preserve"> or to documentation used exclusively with tobacco or nicotine</w:t>
      </w:r>
      <w:r w:rsidR="005A54DD">
        <w:rPr>
          <w:rFonts w:cs="Arial"/>
        </w:rPr>
        <w:t xml:space="preserve">. </w:t>
      </w:r>
      <w:r w:rsidR="00B92677">
        <w:rPr>
          <w:rFonts w:cs="Arial"/>
        </w:rPr>
        <w:t>The existing language therefore requires no change to accommodate</w:t>
      </w:r>
      <w:r w:rsidR="00DD26C2">
        <w:rPr>
          <w:rFonts w:cs="Arial"/>
        </w:rPr>
        <w:t xml:space="preserve"> licensing, permit, or other documentation that may demonstrate legal authority to engage in business dealings concerning </w:t>
      </w:r>
      <w:r w:rsidR="00F63524">
        <w:rPr>
          <w:rFonts w:cs="Arial"/>
        </w:rPr>
        <w:t xml:space="preserve">any or all types of </w:t>
      </w:r>
      <w:r w:rsidR="00DD26C2">
        <w:rPr>
          <w:rFonts w:cs="Arial"/>
        </w:rPr>
        <w:t>ENDS products</w:t>
      </w:r>
      <w:r w:rsidR="00F63524">
        <w:rPr>
          <w:rFonts w:cs="Arial"/>
        </w:rPr>
        <w:t xml:space="preserve"> relevant to a shipment.</w:t>
      </w:r>
    </w:p>
    <w:p w14:paraId="25556F46" w14:textId="2611B2A8" w:rsidR="004B328E" w:rsidRDefault="009F6021" w:rsidP="000226CE">
      <w:pPr>
        <w:shd w:val="clear" w:color="auto" w:fill="FFFFFF"/>
        <w:ind w:firstLine="720"/>
        <w:rPr>
          <w:rFonts w:cs="Arial"/>
        </w:rPr>
      </w:pPr>
      <w:r>
        <w:rPr>
          <w:rFonts w:cs="Arial"/>
        </w:rPr>
        <w:t xml:space="preserve">Insofar as the concern may </w:t>
      </w:r>
      <w:r w:rsidR="006B6571">
        <w:rPr>
          <w:rFonts w:cs="Arial"/>
        </w:rPr>
        <w:t xml:space="preserve">pertain to </w:t>
      </w:r>
      <w:r w:rsidR="00F566AB">
        <w:rPr>
          <w:rFonts w:cs="Arial"/>
        </w:rPr>
        <w:t>a separate phrase in 18 U.S.C. 1716E(b)(3)(A)—“engaged in tobacco product manufacturing [or other specified types of business activity]”—</w:t>
      </w:r>
      <w:r w:rsidR="0004031E">
        <w:rPr>
          <w:rFonts w:cs="Arial"/>
        </w:rPr>
        <w:t xml:space="preserve">it is evident that Congress used “tobacco product” in the PACT Act as a catch-all term encompassing all </w:t>
      </w:r>
      <w:r w:rsidR="003978DE">
        <w:rPr>
          <w:rFonts w:cs="Arial"/>
        </w:rPr>
        <w:t>PACT Act–</w:t>
      </w:r>
      <w:r w:rsidR="0004031E">
        <w:rPr>
          <w:rFonts w:cs="Arial"/>
        </w:rPr>
        <w:t>covered products, regardless of actual tobacco content</w:t>
      </w:r>
      <w:r w:rsidR="00831EF2">
        <w:rPr>
          <w:rFonts w:cs="Arial"/>
        </w:rPr>
        <w:t>.</w:t>
      </w:r>
      <w:r w:rsidR="00795B19">
        <w:rPr>
          <w:rFonts w:cs="Arial"/>
        </w:rPr>
        <w:t xml:space="preserve"> See 86 </w:t>
      </w:r>
      <w:r w:rsidR="007A54C0">
        <w:rPr>
          <w:rFonts w:cs="Arial"/>
        </w:rPr>
        <w:t>FR</w:t>
      </w:r>
      <w:r w:rsidR="00795B19">
        <w:rPr>
          <w:rFonts w:cs="Arial"/>
        </w:rPr>
        <w:t xml:space="preserve"> </w:t>
      </w:r>
      <w:r w:rsidR="007A54C0">
        <w:rPr>
          <w:rFonts w:cs="Arial"/>
        </w:rPr>
        <w:t xml:space="preserve">at </w:t>
      </w:r>
      <w:r w:rsidR="00795B19">
        <w:rPr>
          <w:rFonts w:cs="Arial"/>
        </w:rPr>
        <w:t>10219.</w:t>
      </w:r>
      <w:r w:rsidR="00831EF2">
        <w:rPr>
          <w:rFonts w:cs="Arial"/>
        </w:rPr>
        <w:t xml:space="preserve"> To be sure, the phrase’s import was clearer prior to POSECCA, when </w:t>
      </w:r>
      <w:r w:rsidR="003978DE">
        <w:rPr>
          <w:rFonts w:cs="Arial"/>
        </w:rPr>
        <w:t>all PACT Act–</w:t>
      </w:r>
      <w:r w:rsidR="00831EF2">
        <w:rPr>
          <w:rFonts w:cs="Arial"/>
        </w:rPr>
        <w:t xml:space="preserve">covered products were derived from tobacco. But even after </w:t>
      </w:r>
      <w:r w:rsidR="00B13CAB">
        <w:rPr>
          <w:rFonts w:cs="Arial"/>
        </w:rPr>
        <w:t xml:space="preserve">POSECCA’s inclusion of </w:t>
      </w:r>
      <w:r w:rsidR="00B13CAB">
        <w:rPr>
          <w:rFonts w:cs="Arial"/>
        </w:rPr>
        <w:lastRenderedPageBreak/>
        <w:t>non-tobacco-related ENDS products</w:t>
      </w:r>
      <w:r w:rsidR="00421E12">
        <w:rPr>
          <w:rFonts w:cs="Arial"/>
        </w:rPr>
        <w:t xml:space="preserve">, </w:t>
      </w:r>
      <w:r w:rsidR="00B13CAB" w:rsidRPr="00AF27CF">
        <w:rPr>
          <w:rFonts w:cs="Arial"/>
        </w:rPr>
        <w:t>see</w:t>
      </w:r>
      <w:r w:rsidR="00B13CAB">
        <w:rPr>
          <w:rFonts w:cs="Arial"/>
          <w:i/>
          <w:iCs/>
        </w:rPr>
        <w:t xml:space="preserve"> supra</w:t>
      </w:r>
      <w:r w:rsidR="00B13CAB">
        <w:rPr>
          <w:rFonts w:cs="Arial"/>
        </w:rPr>
        <w:t xml:space="preserve"> </w:t>
      </w:r>
      <w:r w:rsidR="00B13CAB" w:rsidRPr="00CD0822">
        <w:rPr>
          <w:rFonts w:cs="Arial"/>
        </w:rPr>
        <w:t xml:space="preserve">section </w:t>
      </w:r>
      <w:r w:rsidR="00B13CAB" w:rsidRPr="0022072C">
        <w:rPr>
          <w:rFonts w:cs="Arial"/>
        </w:rPr>
        <w:t>III.D.1</w:t>
      </w:r>
      <w:r w:rsidR="00B13CAB" w:rsidRPr="00CD0822">
        <w:rPr>
          <w:rFonts w:cs="Arial"/>
        </w:rPr>
        <w:t>, the</w:t>
      </w:r>
      <w:r w:rsidR="00B13CAB">
        <w:rPr>
          <w:rFonts w:cs="Arial"/>
        </w:rPr>
        <w:t xml:space="preserve"> intent remains sufficiently clear</w:t>
      </w:r>
      <w:r w:rsidR="00A24228">
        <w:rPr>
          <w:rFonts w:cs="Arial"/>
        </w:rPr>
        <w:t xml:space="preserve">. Given the thorough reliance on “tobacco product” throughout the PACT Act, construing </w:t>
      </w:r>
      <w:r w:rsidR="0010738A">
        <w:rPr>
          <w:rFonts w:cs="Arial"/>
        </w:rPr>
        <w:t xml:space="preserve">the </w:t>
      </w:r>
      <w:r w:rsidR="00770F81">
        <w:rPr>
          <w:rFonts w:cs="Arial"/>
        </w:rPr>
        <w:t xml:space="preserve">somewhat antiquated </w:t>
      </w:r>
      <w:r w:rsidR="0010738A">
        <w:rPr>
          <w:rFonts w:cs="Arial"/>
        </w:rPr>
        <w:t xml:space="preserve">phrase </w:t>
      </w:r>
      <w:r w:rsidR="00A24228">
        <w:rPr>
          <w:rFonts w:cs="Arial"/>
        </w:rPr>
        <w:t xml:space="preserve">literally </w:t>
      </w:r>
      <w:r w:rsidR="00B949A7">
        <w:rPr>
          <w:rFonts w:cs="Arial"/>
        </w:rPr>
        <w:t xml:space="preserve">as covering only </w:t>
      </w:r>
      <w:r w:rsidR="00B949A7" w:rsidRPr="00AF27CF">
        <w:rPr>
          <w:rFonts w:cs="Arial"/>
        </w:rPr>
        <w:t xml:space="preserve">bona fide </w:t>
      </w:r>
      <w:r w:rsidR="00B949A7">
        <w:rPr>
          <w:rFonts w:cs="Arial"/>
        </w:rPr>
        <w:t xml:space="preserve">tobacco-derived products and </w:t>
      </w:r>
      <w:r w:rsidR="00A24228">
        <w:rPr>
          <w:rFonts w:cs="Arial"/>
        </w:rPr>
        <w:t xml:space="preserve">excluding non-tobacco-based ENDS products would </w:t>
      </w:r>
      <w:r w:rsidR="00B1639D">
        <w:rPr>
          <w:rFonts w:cs="Arial"/>
        </w:rPr>
        <w:t xml:space="preserve">vitiate the very language whereby Congress </w:t>
      </w:r>
      <w:r w:rsidR="00DC0285">
        <w:rPr>
          <w:rFonts w:cs="Arial"/>
        </w:rPr>
        <w:t xml:space="preserve">has now </w:t>
      </w:r>
      <w:r w:rsidR="00B1639D">
        <w:rPr>
          <w:rFonts w:cs="Arial"/>
        </w:rPr>
        <w:t xml:space="preserve">subjected to the PACT Act ENDS products related to </w:t>
      </w:r>
      <w:r w:rsidR="00DC0285">
        <w:rPr>
          <w:rFonts w:cs="Arial"/>
        </w:rPr>
        <w:t xml:space="preserve">delivery of </w:t>
      </w:r>
      <w:r w:rsidR="00B1639D">
        <w:rPr>
          <w:rFonts w:cs="Arial"/>
        </w:rPr>
        <w:t xml:space="preserve">any “substance,” </w:t>
      </w:r>
      <w:r w:rsidR="00B949A7">
        <w:rPr>
          <w:rFonts w:cs="Arial"/>
        </w:rPr>
        <w:t xml:space="preserve">including </w:t>
      </w:r>
      <w:r w:rsidR="00DC0285">
        <w:rPr>
          <w:rFonts w:cs="Arial"/>
        </w:rPr>
        <w:t>non-tobacco-derived substances</w:t>
      </w:r>
      <w:r w:rsidR="00B949A7">
        <w:rPr>
          <w:rFonts w:cs="Arial"/>
        </w:rPr>
        <w:t>.</w:t>
      </w:r>
      <w:r w:rsidR="006D00C0">
        <w:rPr>
          <w:rFonts w:cs="Arial"/>
        </w:rPr>
        <w:t xml:space="preserve"> Indeed, the POSECCA places ENDS products within the definition of “cigarette</w:t>
      </w:r>
      <w:r w:rsidR="00FE6D81">
        <w:rPr>
          <w:rFonts w:cs="Arial"/>
        </w:rPr>
        <w:t>;</w:t>
      </w:r>
      <w:r w:rsidR="006D00C0">
        <w:rPr>
          <w:rFonts w:cs="Arial"/>
        </w:rPr>
        <w:t>”</w:t>
      </w:r>
      <w:r w:rsidR="00FE6D81">
        <w:rPr>
          <w:rFonts w:cs="Arial"/>
        </w:rPr>
        <w:t xml:space="preserve"> however linguistically awkward this may be, it is evident that “cigarette” is now a term of art signaling the PACT Act’s application to both tobacco and non-tobacco products. It is reasonable to extend the same </w:t>
      </w:r>
      <w:r w:rsidR="008A2148">
        <w:rPr>
          <w:rFonts w:cs="Arial"/>
        </w:rPr>
        <w:t>understanding to “tobacco product,” within which “cigarettes” are subsumed.</w:t>
      </w:r>
      <w:r w:rsidR="0010738A">
        <w:rPr>
          <w:rFonts w:cs="Arial"/>
        </w:rPr>
        <w:t xml:space="preserve"> </w:t>
      </w:r>
      <w:r w:rsidR="004B6737">
        <w:rPr>
          <w:rFonts w:cs="Arial"/>
        </w:rPr>
        <w:t>Th</w:t>
      </w:r>
      <w:r w:rsidR="008A2148">
        <w:rPr>
          <w:rFonts w:cs="Arial"/>
        </w:rPr>
        <w:t>us, th</w:t>
      </w:r>
      <w:r w:rsidR="004B6737">
        <w:rPr>
          <w:rFonts w:cs="Arial"/>
        </w:rPr>
        <w:t xml:space="preserve">e only reasonable construction faithful to </w:t>
      </w:r>
      <w:r w:rsidR="00C04204">
        <w:rPr>
          <w:rFonts w:cs="Arial"/>
        </w:rPr>
        <w:t xml:space="preserve">the POSECCA’s text and intent is to treat “tobacco product” </w:t>
      </w:r>
      <w:r w:rsidR="00A56608">
        <w:rPr>
          <w:rFonts w:cs="Arial"/>
        </w:rPr>
        <w:t>not as a term of limitation, but rather as a catch-all term encompassing all products subject to the PACT Act.</w:t>
      </w:r>
      <w:r w:rsidR="00A56608">
        <w:rPr>
          <w:rStyle w:val="FootnoteReference"/>
          <w:rFonts w:cs="Arial"/>
        </w:rPr>
        <w:footnoteReference w:id="22"/>
      </w:r>
    </w:p>
    <w:p w14:paraId="3B2C1675" w14:textId="413C0B06" w:rsidR="004520A3" w:rsidRDefault="00C13034" w:rsidP="000226CE">
      <w:pPr>
        <w:shd w:val="clear" w:color="auto" w:fill="FFFFFF"/>
        <w:ind w:firstLine="720"/>
        <w:rPr>
          <w:rFonts w:cs="Arial"/>
        </w:rPr>
      </w:pPr>
      <w:r>
        <w:rPr>
          <w:rFonts w:cs="Arial"/>
        </w:rPr>
        <w:t xml:space="preserve">In any event, the </w:t>
      </w:r>
      <w:r w:rsidR="004B328E">
        <w:rPr>
          <w:rFonts w:cs="Arial"/>
        </w:rPr>
        <w:t xml:space="preserve">instance </w:t>
      </w:r>
      <w:r>
        <w:rPr>
          <w:rFonts w:cs="Arial"/>
        </w:rPr>
        <w:t xml:space="preserve">of </w:t>
      </w:r>
      <w:r w:rsidR="004B328E">
        <w:rPr>
          <w:rFonts w:cs="Arial"/>
        </w:rPr>
        <w:t xml:space="preserve">“tobacco product” </w:t>
      </w:r>
      <w:r>
        <w:rPr>
          <w:rFonts w:cs="Arial"/>
        </w:rPr>
        <w:t xml:space="preserve">in 18 U.S.C. 1716E(b)(3)(A) </w:t>
      </w:r>
      <w:r w:rsidR="004B328E">
        <w:rPr>
          <w:rFonts w:cs="Arial"/>
        </w:rPr>
        <w:t xml:space="preserve">cabins only the </w:t>
      </w:r>
      <w:r w:rsidR="00C50800">
        <w:rPr>
          <w:rFonts w:cs="Arial"/>
        </w:rPr>
        <w:t xml:space="preserve">activity-based </w:t>
      </w:r>
      <w:r w:rsidR="004B328E">
        <w:rPr>
          <w:rFonts w:cs="Arial"/>
        </w:rPr>
        <w:t xml:space="preserve">classes of entities eligible for the exception, and not the nature of the licenses or permits under which they may operate. </w:t>
      </w:r>
      <w:r w:rsidR="00C96B30">
        <w:rPr>
          <w:rFonts w:cs="Arial"/>
        </w:rPr>
        <w:t>Rather, licenses and permits go to whether the entity—whatever its market and field of activity—is legally operating</w:t>
      </w:r>
      <w:r w:rsidR="006E0D69">
        <w:rPr>
          <w:rFonts w:cs="Arial"/>
        </w:rPr>
        <w:t>.</w:t>
      </w:r>
      <w:r w:rsidR="00FC0F12">
        <w:rPr>
          <w:rStyle w:val="FootnoteReference"/>
          <w:rFonts w:cs="Arial"/>
        </w:rPr>
        <w:footnoteReference w:id="23"/>
      </w:r>
      <w:r w:rsidR="006E0D69">
        <w:rPr>
          <w:rFonts w:cs="Arial"/>
        </w:rPr>
        <w:t xml:space="preserve"> As such, a cigarette </w:t>
      </w:r>
      <w:r w:rsidR="006E0D69">
        <w:rPr>
          <w:rFonts w:cs="Arial"/>
        </w:rPr>
        <w:lastRenderedPageBreak/>
        <w:t>manufacturer</w:t>
      </w:r>
      <w:r w:rsidR="00383DDB">
        <w:rPr>
          <w:rFonts w:cs="Arial"/>
        </w:rPr>
        <w:t>, for example,</w:t>
      </w:r>
      <w:r w:rsidR="006E0D69">
        <w:rPr>
          <w:rFonts w:cs="Arial"/>
        </w:rPr>
        <w:t xml:space="preserve"> must have licenses and permits relating to cigarette manufacture, but whether it is legally operating may </w:t>
      </w:r>
      <w:r w:rsidR="00985294">
        <w:rPr>
          <w:rFonts w:cs="Arial"/>
        </w:rPr>
        <w:t>additionally</w:t>
      </w:r>
      <w:r w:rsidR="006E0D69">
        <w:rPr>
          <w:rFonts w:cs="Arial"/>
        </w:rPr>
        <w:t xml:space="preserve"> depend on more general business licensure</w:t>
      </w:r>
      <w:r w:rsidR="00383DDB">
        <w:rPr>
          <w:rFonts w:cs="Arial"/>
        </w:rPr>
        <w:t xml:space="preserve"> not specifically related to cigarettes</w:t>
      </w:r>
      <w:r w:rsidR="006E0D69">
        <w:rPr>
          <w:rFonts w:cs="Arial"/>
        </w:rPr>
        <w:t>.</w:t>
      </w:r>
      <w:r w:rsidR="00383DDB">
        <w:rPr>
          <w:rFonts w:cs="Arial"/>
        </w:rPr>
        <w:t xml:space="preserve"> The same is true of an ENDS-related business. </w:t>
      </w:r>
      <w:r w:rsidR="00973E4D">
        <w:rPr>
          <w:rFonts w:cs="Arial"/>
        </w:rPr>
        <w:t xml:space="preserve">Indeed, </w:t>
      </w:r>
      <w:r w:rsidR="00134652">
        <w:rPr>
          <w:rFonts w:cs="Arial"/>
        </w:rPr>
        <w:t xml:space="preserve">the business activity </w:t>
      </w:r>
      <w:r w:rsidR="009070FD">
        <w:rPr>
          <w:rFonts w:cs="Arial"/>
        </w:rPr>
        <w:t xml:space="preserve">that is the subject of an </w:t>
      </w:r>
      <w:r w:rsidR="00973E4D">
        <w:rPr>
          <w:rFonts w:cs="Arial"/>
        </w:rPr>
        <w:t xml:space="preserve">ENDS-related </w:t>
      </w:r>
      <w:r w:rsidR="009070FD">
        <w:rPr>
          <w:rFonts w:cs="Arial"/>
        </w:rPr>
        <w:t xml:space="preserve">Business/Regulatory Purposes application may implicate multiple levels </w:t>
      </w:r>
      <w:r w:rsidR="00973E4D">
        <w:rPr>
          <w:rFonts w:cs="Arial"/>
        </w:rPr>
        <w:t>of licensure</w:t>
      </w:r>
      <w:r w:rsidR="00226206">
        <w:rPr>
          <w:rFonts w:cs="Arial"/>
        </w:rPr>
        <w:t>. For example</w:t>
      </w:r>
      <w:r w:rsidR="00EC4D8D">
        <w:rPr>
          <w:rFonts w:cs="Arial"/>
        </w:rPr>
        <w:t xml:space="preserve">, </w:t>
      </w:r>
      <w:r w:rsidR="00226206">
        <w:rPr>
          <w:rFonts w:cs="Arial"/>
        </w:rPr>
        <w:t xml:space="preserve">consider </w:t>
      </w:r>
      <w:r w:rsidR="00AD0EBB">
        <w:rPr>
          <w:rFonts w:cs="Arial"/>
        </w:rPr>
        <w:t xml:space="preserve">a business engaged in </w:t>
      </w:r>
      <w:r w:rsidR="00944A93">
        <w:rPr>
          <w:rFonts w:cs="Arial"/>
        </w:rPr>
        <w:t xml:space="preserve">ENDS </w:t>
      </w:r>
      <w:r w:rsidR="00AD0EBB">
        <w:rPr>
          <w:rFonts w:cs="Arial"/>
        </w:rPr>
        <w:t>distribution</w:t>
      </w:r>
      <w:r w:rsidR="00944A93">
        <w:rPr>
          <w:rFonts w:cs="Arial"/>
        </w:rPr>
        <w:t xml:space="preserve"> and applying for the Business/Regulatory Purposes exception in connection with CBD-related products</w:t>
      </w:r>
      <w:r w:rsidR="00226206">
        <w:rPr>
          <w:rFonts w:cs="Arial"/>
        </w:rPr>
        <w:t xml:space="preserve">: “all applicable </w:t>
      </w:r>
      <w:r w:rsidR="00F90B23">
        <w:rPr>
          <w:rFonts w:cs="Arial"/>
        </w:rPr>
        <w:t xml:space="preserve">State and Federal Government licenses or permits” bearing on “legally operating” status might include </w:t>
      </w:r>
      <w:r w:rsidR="00EC4D8D">
        <w:rPr>
          <w:rFonts w:cs="Arial"/>
        </w:rPr>
        <w:t xml:space="preserve">a general operating license, permission to </w:t>
      </w:r>
      <w:r w:rsidR="006664CC">
        <w:rPr>
          <w:rFonts w:cs="Arial"/>
        </w:rPr>
        <w:t xml:space="preserve">distribute </w:t>
      </w:r>
      <w:r w:rsidR="00EC4D8D">
        <w:rPr>
          <w:rFonts w:cs="Arial"/>
        </w:rPr>
        <w:t xml:space="preserve">ENDS products, and permission to </w:t>
      </w:r>
      <w:r w:rsidR="006664CC">
        <w:rPr>
          <w:rFonts w:cs="Arial"/>
        </w:rPr>
        <w:t>distribute</w:t>
      </w:r>
      <w:r w:rsidR="00EC4D8D">
        <w:rPr>
          <w:rFonts w:cs="Arial"/>
        </w:rPr>
        <w:t xml:space="preserve"> </w:t>
      </w:r>
      <w:r w:rsidR="00506212">
        <w:rPr>
          <w:rFonts w:cs="Arial"/>
        </w:rPr>
        <w:t>hemp</w:t>
      </w:r>
      <w:r w:rsidR="00EC4D8D">
        <w:rPr>
          <w:rFonts w:cs="Arial"/>
        </w:rPr>
        <w:t xml:space="preserve">-derived </w:t>
      </w:r>
      <w:r w:rsidR="00134652">
        <w:rPr>
          <w:rFonts w:cs="Arial"/>
        </w:rPr>
        <w:t xml:space="preserve">(e.g., CBD) </w:t>
      </w:r>
      <w:r w:rsidR="00EC4D8D">
        <w:rPr>
          <w:rFonts w:cs="Arial"/>
        </w:rPr>
        <w:t>products</w:t>
      </w:r>
      <w:r w:rsidR="00F90B23">
        <w:rPr>
          <w:rFonts w:cs="Arial"/>
        </w:rPr>
        <w:t xml:space="preserve">, </w:t>
      </w:r>
      <w:r w:rsidR="003C327A">
        <w:rPr>
          <w:rFonts w:cs="Arial"/>
        </w:rPr>
        <w:t xml:space="preserve">among other things, </w:t>
      </w:r>
      <w:r w:rsidR="00F90B23">
        <w:rPr>
          <w:rFonts w:cs="Arial"/>
        </w:rPr>
        <w:t xml:space="preserve">to the extent that </w:t>
      </w:r>
      <w:r w:rsidR="006664CC">
        <w:rPr>
          <w:rFonts w:cs="Arial"/>
        </w:rPr>
        <w:t xml:space="preserve">any </w:t>
      </w:r>
      <w:r w:rsidR="003C327A">
        <w:rPr>
          <w:rFonts w:cs="Arial"/>
        </w:rPr>
        <w:t xml:space="preserve">such licenses are </w:t>
      </w:r>
      <w:r w:rsidR="006664CC">
        <w:rPr>
          <w:rFonts w:cs="Arial"/>
        </w:rPr>
        <w:t>required by applicable State or Federal law</w:t>
      </w:r>
      <w:r w:rsidR="00EC4D8D">
        <w:rPr>
          <w:rFonts w:cs="Arial"/>
        </w:rPr>
        <w:t>.</w:t>
      </w:r>
    </w:p>
    <w:p w14:paraId="395F5FAB" w14:textId="60D5F448" w:rsidR="007712E4" w:rsidRDefault="00D92645" w:rsidP="000226CE">
      <w:pPr>
        <w:shd w:val="clear" w:color="auto" w:fill="FFFFFF"/>
        <w:ind w:firstLine="720"/>
        <w:rPr>
          <w:rFonts w:cs="Arial"/>
        </w:rPr>
      </w:pPr>
      <w:r>
        <w:rPr>
          <w:rFonts w:cs="Arial"/>
        </w:rPr>
        <w:t xml:space="preserve">Certain other ENDS </w:t>
      </w:r>
      <w:r w:rsidR="00F379D1">
        <w:rPr>
          <w:rFonts w:cs="Arial"/>
        </w:rPr>
        <w:t xml:space="preserve">industry commenters inquire about a situation where </w:t>
      </w:r>
      <w:r w:rsidR="00AB5173">
        <w:rPr>
          <w:rFonts w:cs="Arial"/>
        </w:rPr>
        <w:t xml:space="preserve">neither Federal nor State law imposes any </w:t>
      </w:r>
      <w:proofErr w:type="gramStart"/>
      <w:r w:rsidR="00AB5173">
        <w:rPr>
          <w:rFonts w:cs="Arial"/>
        </w:rPr>
        <w:t>particular license</w:t>
      </w:r>
      <w:proofErr w:type="gramEnd"/>
      <w:r w:rsidR="00AB5173">
        <w:rPr>
          <w:rFonts w:cs="Arial"/>
        </w:rPr>
        <w:t xml:space="preserve"> or permit requirements on the same of a given ENDS product</w:t>
      </w:r>
      <w:r w:rsidR="00236F01">
        <w:rPr>
          <w:rFonts w:cs="Arial"/>
        </w:rPr>
        <w:t xml:space="preserve">. The commenters propose that </w:t>
      </w:r>
      <w:r w:rsidR="00830E7A">
        <w:rPr>
          <w:rFonts w:cs="Arial"/>
        </w:rPr>
        <w:t xml:space="preserve">an applicant be permitted to simply cite </w:t>
      </w:r>
      <w:r w:rsidR="004D19DA">
        <w:rPr>
          <w:rFonts w:cs="Arial"/>
        </w:rPr>
        <w:t xml:space="preserve">a State statute </w:t>
      </w:r>
      <w:r w:rsidR="00B450C5">
        <w:rPr>
          <w:rFonts w:cs="Arial"/>
        </w:rPr>
        <w:t xml:space="preserve">allowing general business operations. The Postal Service appreciates the novelty of the situation, </w:t>
      </w:r>
      <w:r w:rsidR="00B450C5">
        <w:rPr>
          <w:rFonts w:cs="Arial"/>
        </w:rPr>
        <w:lastRenderedPageBreak/>
        <w:t xml:space="preserve">which would not have arisen with respect to the comprehensively regulated products previously subject to the PACT Act. </w:t>
      </w:r>
      <w:r w:rsidR="00D86B61">
        <w:rPr>
          <w:rFonts w:cs="Arial"/>
        </w:rPr>
        <w:t>As noted earlier, the PACT Act requires verification of all applicable State and Federal Government licenses or permits. If there are no applicable licenses or permits</w:t>
      </w:r>
      <w:r w:rsidR="009F12D5">
        <w:rPr>
          <w:rFonts w:cs="Arial"/>
        </w:rPr>
        <w:t xml:space="preserve"> upon which “legally operating” status </w:t>
      </w:r>
      <w:r w:rsidR="00CE14FB">
        <w:rPr>
          <w:rFonts w:cs="Arial"/>
        </w:rPr>
        <w:t>as to</w:t>
      </w:r>
      <w:r w:rsidR="009F12D5">
        <w:rPr>
          <w:rFonts w:cs="Arial"/>
        </w:rPr>
        <w:t xml:space="preserve"> the relevant business activity depends, then that is that. </w:t>
      </w:r>
      <w:r w:rsidR="009D48C0">
        <w:rPr>
          <w:rFonts w:cs="Arial"/>
        </w:rPr>
        <w:t xml:space="preserve">At the very least, however, it seems unlikely that any State’s laws would permit an applicant business to operate without </w:t>
      </w:r>
      <w:r w:rsidR="008B0820">
        <w:rPr>
          <w:rFonts w:cs="Arial"/>
        </w:rPr>
        <w:t xml:space="preserve">a general business license. To the extent that the applicant’s relevant business activity is not subject to any other license or permit requirements, then the applicant should be prepared to </w:t>
      </w:r>
      <w:r w:rsidR="00B92F0C">
        <w:rPr>
          <w:rFonts w:cs="Arial"/>
        </w:rPr>
        <w:t xml:space="preserve">attest to </w:t>
      </w:r>
      <w:r w:rsidR="0005276A">
        <w:rPr>
          <w:rFonts w:cs="Arial"/>
        </w:rPr>
        <w:t xml:space="preserve">and document </w:t>
      </w:r>
      <w:r w:rsidR="00B92F0C">
        <w:rPr>
          <w:rFonts w:cs="Arial"/>
        </w:rPr>
        <w:t xml:space="preserve">that circumstance, either affirmatively or in response to </w:t>
      </w:r>
      <w:r w:rsidR="0005276A">
        <w:rPr>
          <w:rFonts w:cs="Arial"/>
        </w:rPr>
        <w:t>further PCSC inquiry.</w:t>
      </w:r>
      <w:r w:rsidR="00737813">
        <w:rPr>
          <w:rFonts w:cs="Arial"/>
        </w:rPr>
        <w:t xml:space="preserve"> Particularly where no other documentation may exist, a</w:t>
      </w:r>
      <w:r w:rsidR="000C306F">
        <w:rPr>
          <w:rFonts w:cs="Arial"/>
        </w:rPr>
        <w:t xml:space="preserve"> government-issued</w:t>
      </w:r>
      <w:r w:rsidR="00737813">
        <w:rPr>
          <w:rFonts w:cs="Arial"/>
        </w:rPr>
        <w:t xml:space="preserve"> certificate of good standing </w:t>
      </w:r>
      <w:r w:rsidR="00300D2F">
        <w:rPr>
          <w:rFonts w:cs="Arial"/>
        </w:rPr>
        <w:t>may be helpful, although not necessarily dispositive</w:t>
      </w:r>
      <w:r w:rsidR="00737813">
        <w:rPr>
          <w:rFonts w:cs="Arial"/>
        </w:rPr>
        <w:t>.</w:t>
      </w:r>
      <w:r w:rsidR="0005276A">
        <w:rPr>
          <w:rFonts w:cs="Arial"/>
        </w:rPr>
        <w:t xml:space="preserve"> Applicants are reminded that they bear the burden of proof in establishing eligibility to the satisfaction of the PCSC, and </w:t>
      </w:r>
      <w:r w:rsidR="00214B99">
        <w:rPr>
          <w:rFonts w:cs="Arial"/>
        </w:rPr>
        <w:t xml:space="preserve">applications will likely be processed faster if applicants </w:t>
      </w:r>
      <w:r w:rsidR="00F96971">
        <w:rPr>
          <w:rFonts w:cs="Arial"/>
        </w:rPr>
        <w:t xml:space="preserve">affirmatively </w:t>
      </w:r>
      <w:r w:rsidR="00214B99">
        <w:rPr>
          <w:rFonts w:cs="Arial"/>
        </w:rPr>
        <w:t>provide robust information about their legal status up</w:t>
      </w:r>
      <w:r w:rsidR="00F96971">
        <w:rPr>
          <w:rFonts w:cs="Arial"/>
        </w:rPr>
        <w:t xml:space="preserve"> </w:t>
      </w:r>
      <w:r w:rsidR="00214B99">
        <w:rPr>
          <w:rFonts w:cs="Arial"/>
        </w:rPr>
        <w:t>front</w:t>
      </w:r>
      <w:r w:rsidR="0005276A">
        <w:rPr>
          <w:rFonts w:cs="Arial"/>
        </w:rPr>
        <w:t>.</w:t>
      </w:r>
    </w:p>
    <w:p w14:paraId="513F11C5" w14:textId="14B4E0E3" w:rsidR="0005276A" w:rsidRDefault="00AF10C4" w:rsidP="000226CE">
      <w:pPr>
        <w:shd w:val="clear" w:color="auto" w:fill="FFFFFF"/>
        <w:ind w:firstLine="720"/>
        <w:rPr>
          <w:rFonts w:cs="Arial"/>
        </w:rPr>
      </w:pPr>
      <w:r>
        <w:rPr>
          <w:rFonts w:cs="Arial"/>
        </w:rPr>
        <w:t xml:space="preserve">It should be noted that the same verification requirements apply with respect to </w:t>
      </w:r>
      <w:r w:rsidR="00186852">
        <w:rPr>
          <w:rFonts w:cs="Arial"/>
        </w:rPr>
        <w:t xml:space="preserve">all </w:t>
      </w:r>
      <w:r w:rsidR="002F415E">
        <w:rPr>
          <w:rFonts w:cs="Arial"/>
        </w:rPr>
        <w:t xml:space="preserve">senders </w:t>
      </w:r>
      <w:r w:rsidR="00186852">
        <w:rPr>
          <w:rFonts w:cs="Arial"/>
        </w:rPr>
        <w:t xml:space="preserve">and </w:t>
      </w:r>
      <w:r w:rsidR="002F415E">
        <w:rPr>
          <w:rFonts w:cs="Arial"/>
        </w:rPr>
        <w:t>recipients</w:t>
      </w:r>
      <w:r w:rsidR="00186852">
        <w:rPr>
          <w:rFonts w:cs="Arial"/>
        </w:rPr>
        <w:t xml:space="preserve"> under the exception, regardless of their status as business actors or government agencies</w:t>
      </w:r>
      <w:r w:rsidR="002F415E">
        <w:rPr>
          <w:rFonts w:cs="Arial"/>
        </w:rPr>
        <w:t xml:space="preserve">. </w:t>
      </w:r>
      <w:r w:rsidR="002F415E" w:rsidRPr="00AF27CF">
        <w:rPr>
          <w:rFonts w:cs="Arial"/>
        </w:rPr>
        <w:t xml:space="preserve">See </w:t>
      </w:r>
      <w:r w:rsidR="002F415E">
        <w:rPr>
          <w:rFonts w:cs="Arial"/>
        </w:rPr>
        <w:t xml:space="preserve">18 U.S.C. 1716E(b)(3)(A), (b)(3)(B)(ii)(I)–(II). </w:t>
      </w:r>
      <w:r w:rsidR="00891D96">
        <w:rPr>
          <w:rFonts w:cs="Arial"/>
        </w:rPr>
        <w:t>At the same time, however, only businesses’ eligibility is conditioned upon “legally operating” status as evidenced by licenses and permits</w:t>
      </w:r>
      <w:r w:rsidR="00E42238">
        <w:rPr>
          <w:rFonts w:cs="Arial"/>
        </w:rPr>
        <w:t xml:space="preserve">, </w:t>
      </w:r>
      <w:r w:rsidR="00E42238" w:rsidRPr="00AF27CF">
        <w:rPr>
          <w:rFonts w:cs="Arial"/>
        </w:rPr>
        <w:t>compare</w:t>
      </w:r>
      <w:r w:rsidR="00E42238">
        <w:rPr>
          <w:rFonts w:cs="Arial"/>
          <w:i/>
          <w:iCs/>
        </w:rPr>
        <w:t xml:space="preserve"> id.</w:t>
      </w:r>
      <w:r w:rsidR="00E42238">
        <w:rPr>
          <w:rFonts w:cs="Arial"/>
        </w:rPr>
        <w:t xml:space="preserve"> at (b)(3)(A)(i) </w:t>
      </w:r>
      <w:r w:rsidR="00E42238" w:rsidRPr="00AF27CF">
        <w:rPr>
          <w:rFonts w:cs="Arial"/>
        </w:rPr>
        <w:t>with</w:t>
      </w:r>
      <w:r w:rsidR="00E42238">
        <w:rPr>
          <w:rFonts w:cs="Arial"/>
          <w:i/>
          <w:iCs/>
        </w:rPr>
        <w:t xml:space="preserve"> id.</w:t>
      </w:r>
      <w:r w:rsidR="00E42238">
        <w:rPr>
          <w:rFonts w:cs="Arial"/>
        </w:rPr>
        <w:t xml:space="preserve"> at (b)(3)(A)(ii), </w:t>
      </w:r>
      <w:r w:rsidR="00225597">
        <w:rPr>
          <w:rFonts w:cs="Arial"/>
        </w:rPr>
        <w:t xml:space="preserve">and indeed, government agencies are not typically subject to licensure by other governmental </w:t>
      </w:r>
      <w:r w:rsidR="00225597">
        <w:rPr>
          <w:rFonts w:cs="Arial"/>
        </w:rPr>
        <w:lastRenderedPageBreak/>
        <w:t xml:space="preserve">bodies. </w:t>
      </w:r>
      <w:r w:rsidR="00360DAF">
        <w:rPr>
          <w:rFonts w:cs="Arial"/>
        </w:rPr>
        <w:t>Nevertheless, because the Postal Service is required to verify eligibility for governmental senders and recipients, applicants must provide the Postal Service with sufficient information to determine that the relevant</w:t>
      </w:r>
      <w:r w:rsidR="00690580">
        <w:rPr>
          <w:rFonts w:cs="Arial"/>
        </w:rPr>
        <w:t xml:space="preserve"> governmental</w:t>
      </w:r>
      <w:r w:rsidR="00360DAF">
        <w:rPr>
          <w:rFonts w:cs="Arial"/>
        </w:rPr>
        <w:t xml:space="preserve"> entity is </w:t>
      </w:r>
      <w:r w:rsidR="00D72EB3">
        <w:rPr>
          <w:rFonts w:cs="Arial"/>
        </w:rPr>
        <w:t xml:space="preserve">an eligible one, and not merely an ineligible entity using </w:t>
      </w:r>
      <w:r w:rsidR="00ED170E">
        <w:rPr>
          <w:rFonts w:cs="Arial"/>
        </w:rPr>
        <w:t xml:space="preserve">a name identical to or resembling that of a </w:t>
      </w:r>
      <w:r w:rsidR="00ED170E" w:rsidRPr="00AF27CF">
        <w:rPr>
          <w:rFonts w:cs="Arial"/>
        </w:rPr>
        <w:t xml:space="preserve">bona fide </w:t>
      </w:r>
      <w:r w:rsidR="00ED170E">
        <w:rPr>
          <w:rFonts w:cs="Arial"/>
        </w:rPr>
        <w:t>government</w:t>
      </w:r>
      <w:r w:rsidR="00690580">
        <w:rPr>
          <w:rFonts w:cs="Arial"/>
        </w:rPr>
        <w:t>al</w:t>
      </w:r>
      <w:r w:rsidR="00ED170E">
        <w:rPr>
          <w:rFonts w:cs="Arial"/>
        </w:rPr>
        <w:t xml:space="preserve"> entity</w:t>
      </w:r>
      <w:r w:rsidR="00360DAF">
        <w:rPr>
          <w:rFonts w:cs="Arial"/>
        </w:rPr>
        <w:t>.</w:t>
      </w:r>
      <w:r w:rsidR="00D72EB3">
        <w:rPr>
          <w:rFonts w:cs="Arial"/>
        </w:rPr>
        <w:t xml:space="preserve"> </w:t>
      </w:r>
      <w:r w:rsidR="00813765">
        <w:rPr>
          <w:rFonts w:cs="Arial"/>
        </w:rPr>
        <w:t xml:space="preserve">Such information would include </w:t>
      </w:r>
      <w:r w:rsidR="00BB16A5">
        <w:rPr>
          <w:rFonts w:cs="Arial"/>
        </w:rPr>
        <w:t xml:space="preserve">not only </w:t>
      </w:r>
      <w:r w:rsidR="00813765">
        <w:rPr>
          <w:rFonts w:cs="Arial"/>
        </w:rPr>
        <w:t xml:space="preserve">the entity’s name and address, </w:t>
      </w:r>
      <w:r w:rsidR="00BB16A5">
        <w:rPr>
          <w:rFonts w:cs="Arial"/>
        </w:rPr>
        <w:t xml:space="preserve">but also </w:t>
      </w:r>
      <w:r w:rsidR="00605B7A">
        <w:rPr>
          <w:rFonts w:cs="Arial"/>
        </w:rPr>
        <w:t>citations to the legal authority under which it operates.</w:t>
      </w:r>
      <w:r w:rsidR="008642F0">
        <w:rPr>
          <w:rStyle w:val="FootnoteReference"/>
          <w:rFonts w:cs="Arial"/>
        </w:rPr>
        <w:footnoteReference w:id="24"/>
      </w:r>
    </w:p>
    <w:p w14:paraId="7B47615E" w14:textId="0FFFA3D6" w:rsidR="004F7739" w:rsidRDefault="00FC71FB" w:rsidP="000226CE">
      <w:pPr>
        <w:shd w:val="clear" w:color="auto" w:fill="FFFFFF"/>
        <w:ind w:firstLine="720"/>
        <w:rPr>
          <w:rFonts w:cs="Arial"/>
        </w:rPr>
      </w:pPr>
      <w:r>
        <w:rPr>
          <w:rFonts w:cs="Arial"/>
        </w:rPr>
        <w:t xml:space="preserve">One ENDS business </w:t>
      </w:r>
      <w:r w:rsidR="006D7C94">
        <w:rPr>
          <w:rFonts w:cs="Arial"/>
        </w:rPr>
        <w:t xml:space="preserve">asked about how the documentation requirements would apply to </w:t>
      </w:r>
      <w:r w:rsidR="00A2201A">
        <w:rPr>
          <w:rFonts w:cs="Arial"/>
        </w:rPr>
        <w:t xml:space="preserve">contract research organizations and trade shows. </w:t>
      </w:r>
      <w:r w:rsidR="00774EC8">
        <w:rPr>
          <w:rFonts w:cs="Arial"/>
        </w:rPr>
        <w:t xml:space="preserve">The same principles </w:t>
      </w:r>
      <w:r w:rsidR="00F6681E">
        <w:rPr>
          <w:rFonts w:cs="Arial"/>
        </w:rPr>
        <w:t xml:space="preserve">would apply as discussed </w:t>
      </w:r>
      <w:r w:rsidR="00E86A43">
        <w:rPr>
          <w:rFonts w:cs="Arial"/>
        </w:rPr>
        <w:t>earlier in this section</w:t>
      </w:r>
      <w:r w:rsidR="00F6681E">
        <w:rPr>
          <w:rFonts w:cs="Arial"/>
        </w:rPr>
        <w:t xml:space="preserve">: to the extent that </w:t>
      </w:r>
      <w:r w:rsidR="002D281A">
        <w:rPr>
          <w:rFonts w:cs="Arial"/>
        </w:rPr>
        <w:t xml:space="preserve">lawful </w:t>
      </w:r>
      <w:r w:rsidR="00F6681E">
        <w:rPr>
          <w:rFonts w:cs="Arial"/>
        </w:rPr>
        <w:t xml:space="preserve">operation of a contract research organization or trade show relating to the relevant </w:t>
      </w:r>
      <w:r w:rsidR="003978DE">
        <w:rPr>
          <w:rFonts w:cs="Arial"/>
        </w:rPr>
        <w:t>PACT Act–</w:t>
      </w:r>
      <w:r w:rsidR="00F6681E">
        <w:rPr>
          <w:rFonts w:cs="Arial"/>
        </w:rPr>
        <w:t xml:space="preserve">covered products requires Federal or State licensing or permitting, then copies of such documentation must be included </w:t>
      </w:r>
      <w:r w:rsidR="0006111F">
        <w:rPr>
          <w:rFonts w:cs="Arial"/>
        </w:rPr>
        <w:t>with an application concerning such a party.</w:t>
      </w:r>
      <w:r w:rsidR="008A42B8">
        <w:rPr>
          <w:rFonts w:cs="Arial"/>
        </w:rPr>
        <w:t xml:space="preserve"> </w:t>
      </w:r>
      <w:r w:rsidR="00A25859">
        <w:rPr>
          <w:rFonts w:cs="Arial"/>
        </w:rPr>
        <w:t xml:space="preserve">Again, particularly where other license or permit documentation may not exist, a </w:t>
      </w:r>
      <w:r w:rsidR="00504F40">
        <w:rPr>
          <w:rFonts w:cs="Arial"/>
        </w:rPr>
        <w:t xml:space="preserve">government-issued </w:t>
      </w:r>
      <w:r w:rsidR="00A25859">
        <w:rPr>
          <w:rFonts w:cs="Arial"/>
        </w:rPr>
        <w:t>certificate of good standing may be helpful, albeit not necessarily dispositive.</w:t>
      </w:r>
    </w:p>
    <w:p w14:paraId="2A038D4E" w14:textId="5EE3D00F" w:rsidR="00FC71FB" w:rsidRDefault="00524259" w:rsidP="000226CE">
      <w:pPr>
        <w:shd w:val="clear" w:color="auto" w:fill="FFFFFF"/>
        <w:ind w:firstLine="720"/>
        <w:rPr>
          <w:rFonts w:cs="Arial"/>
        </w:rPr>
      </w:pPr>
      <w:r>
        <w:rPr>
          <w:rFonts w:cs="Arial"/>
        </w:rPr>
        <w:t xml:space="preserve">It </w:t>
      </w:r>
      <w:r w:rsidR="00C0763C">
        <w:rPr>
          <w:rFonts w:cs="Arial"/>
        </w:rPr>
        <w:t xml:space="preserve">is emphasized </w:t>
      </w:r>
      <w:r>
        <w:rPr>
          <w:rFonts w:cs="Arial"/>
        </w:rPr>
        <w:t xml:space="preserve">that </w:t>
      </w:r>
      <w:r w:rsidR="004F7739">
        <w:rPr>
          <w:rFonts w:cs="Arial"/>
        </w:rPr>
        <w:t xml:space="preserve">the Postal Service is required not merely to collect </w:t>
      </w:r>
      <w:r>
        <w:rPr>
          <w:rFonts w:cs="Arial"/>
        </w:rPr>
        <w:t>Federal and State licenses and permits</w:t>
      </w:r>
      <w:r w:rsidR="004F7739">
        <w:rPr>
          <w:rFonts w:cs="Arial"/>
        </w:rPr>
        <w:t xml:space="preserve">, but also to verify more broadly that a business is “legally operating” </w:t>
      </w:r>
      <w:r w:rsidR="00BC0E07">
        <w:rPr>
          <w:rFonts w:cs="Arial"/>
        </w:rPr>
        <w:t xml:space="preserve">and “engaged in” the relevant business activity. </w:t>
      </w:r>
      <w:r w:rsidR="002506D2">
        <w:rPr>
          <w:rFonts w:cs="Arial"/>
        </w:rPr>
        <w:t xml:space="preserve">This may require the submission of documentation beyond merely licenses and permits. For example, a university performing research </w:t>
      </w:r>
      <w:r w:rsidR="00834D22">
        <w:rPr>
          <w:rFonts w:cs="Arial"/>
        </w:rPr>
        <w:t xml:space="preserve">on behalf of ENDS </w:t>
      </w:r>
      <w:r w:rsidR="00834D22">
        <w:rPr>
          <w:rFonts w:cs="Arial"/>
        </w:rPr>
        <w:lastRenderedPageBreak/>
        <w:t xml:space="preserve">industry participants may need to </w:t>
      </w:r>
      <w:r w:rsidR="007206B5">
        <w:rPr>
          <w:rFonts w:cs="Arial"/>
        </w:rPr>
        <w:t>submit</w:t>
      </w:r>
      <w:r w:rsidR="00834D22">
        <w:rPr>
          <w:rFonts w:cs="Arial"/>
        </w:rPr>
        <w:t xml:space="preserve"> not only </w:t>
      </w:r>
      <w:r w:rsidR="007206B5">
        <w:rPr>
          <w:rFonts w:cs="Arial"/>
        </w:rPr>
        <w:t xml:space="preserve">copies of </w:t>
      </w:r>
      <w:r w:rsidR="00834D22">
        <w:rPr>
          <w:rFonts w:cs="Arial"/>
        </w:rPr>
        <w:t xml:space="preserve">relevant licenses and permits, but also </w:t>
      </w:r>
      <w:r w:rsidR="00D05646">
        <w:rPr>
          <w:rFonts w:cs="Arial"/>
        </w:rPr>
        <w:t xml:space="preserve">grant or contract documentation indicating that the research is within the scope of </w:t>
      </w:r>
      <w:r w:rsidR="003242C8">
        <w:rPr>
          <w:rFonts w:cs="Arial"/>
        </w:rPr>
        <w:t>a legally authorized undertaking</w:t>
      </w:r>
      <w:r w:rsidR="00D05646">
        <w:rPr>
          <w:rFonts w:cs="Arial"/>
        </w:rPr>
        <w:t>.</w:t>
      </w:r>
    </w:p>
    <w:p w14:paraId="2FEF5DB5" w14:textId="6B8BAB66" w:rsidR="009319D5" w:rsidRDefault="009319D5" w:rsidP="000226CE">
      <w:pPr>
        <w:shd w:val="clear" w:color="auto" w:fill="FFFFFF"/>
        <w:ind w:firstLine="720"/>
        <w:rPr>
          <w:rFonts w:cs="Arial"/>
        </w:rPr>
      </w:pPr>
      <w:r>
        <w:rPr>
          <w:rFonts w:cs="Arial"/>
        </w:rPr>
        <w:t xml:space="preserve">State </w:t>
      </w:r>
      <w:r w:rsidR="00C864C3">
        <w:rPr>
          <w:rFonts w:cs="Arial"/>
        </w:rPr>
        <w:t xml:space="preserve">and local </w:t>
      </w:r>
      <w:r>
        <w:rPr>
          <w:rFonts w:cs="Arial"/>
        </w:rPr>
        <w:t xml:space="preserve">attorneys general </w:t>
      </w:r>
      <w:r w:rsidR="00C7708F">
        <w:rPr>
          <w:rFonts w:cs="Arial"/>
        </w:rPr>
        <w:t xml:space="preserve">proposed that the Postal Service require applicants to </w:t>
      </w:r>
      <w:r w:rsidR="00693D76">
        <w:rPr>
          <w:rFonts w:cs="Arial"/>
        </w:rPr>
        <w:t>provide information about the products that they intend to ship under the Business/Regulatory Purposes exception.</w:t>
      </w:r>
      <w:r w:rsidR="00CB4379">
        <w:rPr>
          <w:rFonts w:cs="Arial"/>
        </w:rPr>
        <w:t xml:space="preserve"> The product suggestion is well-taken, given the various other regulatory and mailability concerns </w:t>
      </w:r>
      <w:r w:rsidR="00BE7C79">
        <w:rPr>
          <w:rFonts w:cs="Arial"/>
        </w:rPr>
        <w:t xml:space="preserve">apart from the PACT Act </w:t>
      </w:r>
      <w:r w:rsidR="00CB4379">
        <w:rPr>
          <w:rFonts w:cs="Arial"/>
        </w:rPr>
        <w:t xml:space="preserve">that may pertain to </w:t>
      </w:r>
      <w:r w:rsidR="00BE7C79">
        <w:rPr>
          <w:rFonts w:cs="Arial"/>
        </w:rPr>
        <w:t xml:space="preserve">certain </w:t>
      </w:r>
      <w:r w:rsidR="00CB4379">
        <w:rPr>
          <w:rFonts w:cs="Arial"/>
        </w:rPr>
        <w:t>ENDS products</w:t>
      </w:r>
      <w:r w:rsidR="00BE7C79">
        <w:rPr>
          <w:rFonts w:cs="Arial"/>
        </w:rPr>
        <w:t xml:space="preserve">. The new application form and worksheet incorporate requirements for applicants to </w:t>
      </w:r>
      <w:r w:rsidR="007D1CE0">
        <w:rPr>
          <w:rFonts w:cs="Arial"/>
        </w:rPr>
        <w:t xml:space="preserve">provide brand names and descriptions of </w:t>
      </w:r>
      <w:r w:rsidR="00150AED">
        <w:rPr>
          <w:rFonts w:cs="Arial"/>
        </w:rPr>
        <w:t>each product that they intend to ship</w:t>
      </w:r>
      <w:r w:rsidR="00F64702">
        <w:rPr>
          <w:rFonts w:cs="Arial"/>
        </w:rPr>
        <w:t xml:space="preserve">, as well as </w:t>
      </w:r>
      <w:r w:rsidR="003E3AC0">
        <w:rPr>
          <w:rFonts w:cs="Arial"/>
        </w:rPr>
        <w:t>additional supporting documentation regard</w:t>
      </w:r>
      <w:r w:rsidR="00B067CC">
        <w:rPr>
          <w:rFonts w:cs="Arial"/>
        </w:rPr>
        <w:t xml:space="preserve">ing products that contain </w:t>
      </w:r>
      <w:r w:rsidR="00E514AF">
        <w:rPr>
          <w:rFonts w:cs="Arial"/>
        </w:rPr>
        <w:t xml:space="preserve">lithium batteries, </w:t>
      </w:r>
      <w:r w:rsidR="000A3476">
        <w:rPr>
          <w:rFonts w:cs="Arial"/>
        </w:rPr>
        <w:t>nicotine, THC, or CBD</w:t>
      </w:r>
      <w:r w:rsidR="0076559D">
        <w:rPr>
          <w:rFonts w:cs="Arial"/>
        </w:rPr>
        <w:t xml:space="preserve"> and any other ENDS liquids or solutions</w:t>
      </w:r>
      <w:r w:rsidR="00150AED">
        <w:rPr>
          <w:rFonts w:cs="Arial"/>
        </w:rPr>
        <w:t>.</w:t>
      </w:r>
    </w:p>
    <w:p w14:paraId="3455FAEC" w14:textId="74139BE6" w:rsidR="00BC1909" w:rsidRPr="00E42238" w:rsidRDefault="00BC1909" w:rsidP="000226CE">
      <w:pPr>
        <w:shd w:val="clear" w:color="auto" w:fill="FFFFFF"/>
        <w:ind w:firstLine="720"/>
        <w:rPr>
          <w:rFonts w:cs="Arial"/>
        </w:rPr>
      </w:pPr>
      <w:r>
        <w:rPr>
          <w:rFonts w:cs="Arial"/>
        </w:rPr>
        <w:t xml:space="preserve">State </w:t>
      </w:r>
      <w:r w:rsidR="00C864C3">
        <w:rPr>
          <w:rFonts w:cs="Arial"/>
        </w:rPr>
        <w:t xml:space="preserve">and local </w:t>
      </w:r>
      <w:r>
        <w:rPr>
          <w:rFonts w:cs="Arial"/>
        </w:rPr>
        <w:t>attorneys general also recommended that applicants be required to certify that they will ship only between authorized persons</w:t>
      </w:r>
      <w:r w:rsidR="004C592E">
        <w:rPr>
          <w:rFonts w:cs="Arial"/>
        </w:rPr>
        <w:t xml:space="preserve"> (i.e., persons whom the Postal Service has verified as eligible)</w:t>
      </w:r>
      <w:r>
        <w:rPr>
          <w:rFonts w:cs="Arial"/>
        </w:rPr>
        <w:t xml:space="preserve">. </w:t>
      </w:r>
      <w:r w:rsidR="00345F96">
        <w:rPr>
          <w:rFonts w:cs="Arial"/>
        </w:rPr>
        <w:t xml:space="preserve">While the concern for attestation is valid, the Postal Service believes that it is already adequately addressed, to the point where attestation at the point of acceptance would be redundant. </w:t>
      </w:r>
      <w:r w:rsidR="00955E9B">
        <w:rPr>
          <w:rFonts w:cs="Arial"/>
        </w:rPr>
        <w:t xml:space="preserve">The </w:t>
      </w:r>
      <w:r w:rsidR="00345F96">
        <w:rPr>
          <w:rFonts w:cs="Arial"/>
        </w:rPr>
        <w:t xml:space="preserve">Business/Regulatory Purposes </w:t>
      </w:r>
      <w:r w:rsidR="00C5555C">
        <w:rPr>
          <w:rFonts w:cs="Arial"/>
        </w:rPr>
        <w:t>application form requires the customer to completely list all intended recipients</w:t>
      </w:r>
      <w:r w:rsidR="00345F96">
        <w:rPr>
          <w:rFonts w:cs="Arial"/>
        </w:rPr>
        <w:t xml:space="preserve"> and to certify as to the entries’ completeness and accuracy. Any materially false or fraudulent statement or omission in the application could subject the applicant to liability under the False Claims Act. See 18 U.S.C. 1001(a). Furthermore, the PACT Act makes clear that the exception does not cover a shipment to an ineligible party, and so a shipment </w:t>
      </w:r>
      <w:r w:rsidR="00345F96">
        <w:rPr>
          <w:rFonts w:cs="Arial"/>
        </w:rPr>
        <w:lastRenderedPageBreak/>
        <w:t xml:space="preserve">to such a party could subject the shipper to liability under the PACT Act. Moreover, the new rules, like the former rules, require shippers to present their PCSC eligibility determination letter to acceptance personnel for verification of the sender and addressee’s eligibility. Here, too, presentment of false or misleading information, or concealment of relevant information, could subject a shipper to False Claims Act liability. </w:t>
      </w:r>
      <w:r w:rsidR="003917B3">
        <w:rPr>
          <w:rFonts w:cs="Arial"/>
        </w:rPr>
        <w:t xml:space="preserve">As such, </w:t>
      </w:r>
      <w:r w:rsidR="00972EA2">
        <w:rPr>
          <w:rFonts w:cs="Arial"/>
        </w:rPr>
        <w:t xml:space="preserve">there does not appear to be any clear </w:t>
      </w:r>
      <w:r w:rsidR="003917B3">
        <w:rPr>
          <w:rFonts w:cs="Arial"/>
        </w:rPr>
        <w:t>incremental value in adding a</w:t>
      </w:r>
      <w:r w:rsidR="00C9201C">
        <w:rPr>
          <w:rFonts w:cs="Arial"/>
        </w:rPr>
        <w:t xml:space="preserve"> redundant</w:t>
      </w:r>
      <w:r w:rsidR="003917B3">
        <w:rPr>
          <w:rFonts w:cs="Arial"/>
        </w:rPr>
        <w:t xml:space="preserve"> </w:t>
      </w:r>
      <w:r w:rsidR="00345F96">
        <w:rPr>
          <w:rFonts w:cs="Arial"/>
        </w:rPr>
        <w:t>attestation at the point of acceptance, let alone such value as might outweigh the administrative costs of doing so</w:t>
      </w:r>
      <w:r w:rsidR="003917B3">
        <w:rPr>
          <w:rFonts w:cs="Arial"/>
        </w:rPr>
        <w:t>.</w:t>
      </w:r>
    </w:p>
    <w:p w14:paraId="3420A83A" w14:textId="2596C913" w:rsidR="00F730B2" w:rsidRPr="006F5D98" w:rsidRDefault="008708FA" w:rsidP="00FE6779">
      <w:pPr>
        <w:ind w:left="720" w:firstLine="720"/>
        <w:rPr>
          <w:bCs/>
        </w:rPr>
      </w:pPr>
      <w:r w:rsidRPr="00FE6779">
        <w:rPr>
          <w:b/>
          <w:bCs/>
        </w:rPr>
        <w:t>5.</w:t>
      </w:r>
      <w:r w:rsidRPr="00FE6779">
        <w:rPr>
          <w:b/>
          <w:bCs/>
        </w:rPr>
        <w:tab/>
      </w:r>
      <w:bookmarkStart w:id="36" w:name="_Toc79569821"/>
      <w:r w:rsidR="00F535DD" w:rsidRPr="00FE6779">
        <w:rPr>
          <w:b/>
          <w:bCs/>
        </w:rPr>
        <w:t>Qualifying</w:t>
      </w:r>
      <w:r w:rsidR="00462735" w:rsidRPr="00FE6779">
        <w:rPr>
          <w:b/>
          <w:bCs/>
        </w:rPr>
        <w:t xml:space="preserve"> Postal Service</w:t>
      </w:r>
      <w:r w:rsidR="00F730B2" w:rsidRPr="00FE6779">
        <w:rPr>
          <w:b/>
          <w:bCs/>
        </w:rPr>
        <w:t xml:space="preserve"> Products</w:t>
      </w:r>
      <w:bookmarkEnd w:id="36"/>
    </w:p>
    <w:p w14:paraId="064A64E6" w14:textId="30F9E7D0" w:rsidR="00F730B2" w:rsidRDefault="008C3481" w:rsidP="00FD29E0">
      <w:pPr>
        <w:shd w:val="clear" w:color="auto" w:fill="FFFFFF"/>
        <w:ind w:firstLine="720"/>
        <w:rPr>
          <w:rFonts w:cs="Arial"/>
        </w:rPr>
      </w:pPr>
      <w:r>
        <w:rPr>
          <w:rFonts w:cs="Arial"/>
        </w:rPr>
        <w:t xml:space="preserve">Several pro-ENDS commenters </w:t>
      </w:r>
      <w:r w:rsidR="00B757F5">
        <w:rPr>
          <w:rFonts w:cs="Arial"/>
        </w:rPr>
        <w:t>asked the Postal Service not to limit the use of the Business/Regulatory Purposes exception to shipments via Priority Mail Express with Hold for Pickup service, but rather to allow such shipments via Priority Mail as a more affordable alternative.</w:t>
      </w:r>
      <w:r w:rsidR="00BE3242">
        <w:rPr>
          <w:rFonts w:cs="Arial"/>
        </w:rPr>
        <w:t xml:space="preserve"> </w:t>
      </w:r>
      <w:r w:rsidR="001619C9">
        <w:rPr>
          <w:rFonts w:cs="Arial"/>
        </w:rPr>
        <w:t xml:space="preserve">This concern appears to refer to the PACT Act rules </w:t>
      </w:r>
      <w:r w:rsidR="00CB250B">
        <w:rPr>
          <w:rFonts w:cs="Arial"/>
        </w:rPr>
        <w:t xml:space="preserve">initially </w:t>
      </w:r>
      <w:r w:rsidR="001619C9">
        <w:rPr>
          <w:rFonts w:cs="Arial"/>
        </w:rPr>
        <w:t>implemented in 2010, and not to the current rules.</w:t>
      </w:r>
      <w:r w:rsidR="00BE3242">
        <w:rPr>
          <w:rFonts w:cs="Arial"/>
        </w:rPr>
        <w:t xml:space="preserve"> </w:t>
      </w:r>
      <w:r w:rsidR="00A4118F">
        <w:rPr>
          <w:rFonts w:cs="Arial"/>
        </w:rPr>
        <w:t xml:space="preserve">Although Priority Mail Express with Hold for Pickup service was the only </w:t>
      </w:r>
      <w:r w:rsidR="000C0360">
        <w:rPr>
          <w:rFonts w:cs="Arial"/>
        </w:rPr>
        <w:t xml:space="preserve">combination of services available at the time of original PACT Act implementation in 2010 that could </w:t>
      </w:r>
      <w:r w:rsidR="00AD503B">
        <w:rPr>
          <w:rFonts w:cs="Arial"/>
        </w:rPr>
        <w:t xml:space="preserve">permit the Postal Service to </w:t>
      </w:r>
      <w:r w:rsidR="000C0360">
        <w:rPr>
          <w:rFonts w:cs="Arial"/>
        </w:rPr>
        <w:t xml:space="preserve">fulfill the PACT Act’s </w:t>
      </w:r>
      <w:r w:rsidR="00B31B8D">
        <w:rPr>
          <w:rFonts w:cs="Arial"/>
        </w:rPr>
        <w:t>age</w:t>
      </w:r>
      <w:r w:rsidR="00B67672">
        <w:rPr>
          <w:rFonts w:cs="Arial"/>
        </w:rPr>
        <w:t>-</w:t>
      </w:r>
      <w:r w:rsidR="00A645C8">
        <w:rPr>
          <w:rFonts w:cs="Arial"/>
        </w:rPr>
        <w:t xml:space="preserve">verification, </w:t>
      </w:r>
      <w:r w:rsidR="00B31B8D">
        <w:rPr>
          <w:rFonts w:cs="Arial"/>
        </w:rPr>
        <w:t>identity</w:t>
      </w:r>
      <w:r w:rsidR="00B67672">
        <w:rPr>
          <w:rFonts w:cs="Arial"/>
        </w:rPr>
        <w:t>-</w:t>
      </w:r>
      <w:r w:rsidR="00B31B8D">
        <w:rPr>
          <w:rFonts w:cs="Arial"/>
        </w:rPr>
        <w:t>verification</w:t>
      </w:r>
      <w:r w:rsidR="00A645C8">
        <w:rPr>
          <w:rFonts w:cs="Arial"/>
        </w:rPr>
        <w:t>,</w:t>
      </w:r>
      <w:r w:rsidR="00B31B8D">
        <w:rPr>
          <w:rFonts w:cs="Arial"/>
        </w:rPr>
        <w:t xml:space="preserve"> </w:t>
      </w:r>
      <w:r w:rsidR="00D30D7F">
        <w:rPr>
          <w:rFonts w:cs="Arial"/>
        </w:rPr>
        <w:t xml:space="preserve">and tracking </w:t>
      </w:r>
      <w:r w:rsidR="000C0360">
        <w:rPr>
          <w:rFonts w:cs="Arial"/>
        </w:rPr>
        <w:t xml:space="preserve">requirements, </w:t>
      </w:r>
      <w:r w:rsidR="000C0360" w:rsidRPr="00AF27CF">
        <w:rPr>
          <w:rFonts w:cs="Arial"/>
        </w:rPr>
        <w:t xml:space="preserve">see </w:t>
      </w:r>
      <w:r w:rsidR="00DC56CB">
        <w:rPr>
          <w:rFonts w:cs="Arial"/>
        </w:rPr>
        <w:t xml:space="preserve">75 </w:t>
      </w:r>
      <w:r w:rsidR="007A54C0">
        <w:rPr>
          <w:rFonts w:cs="Arial"/>
        </w:rPr>
        <w:t>FR</w:t>
      </w:r>
      <w:r w:rsidR="00DC56CB">
        <w:rPr>
          <w:rFonts w:cs="Arial"/>
        </w:rPr>
        <w:t xml:space="preserve"> </w:t>
      </w:r>
      <w:r w:rsidR="005320D5">
        <w:rPr>
          <w:rFonts w:cs="Arial"/>
        </w:rPr>
        <w:t xml:space="preserve">at </w:t>
      </w:r>
      <w:r w:rsidR="00DC56CB">
        <w:rPr>
          <w:rFonts w:cs="Arial"/>
        </w:rPr>
        <w:t>29665–29666</w:t>
      </w:r>
      <w:r w:rsidR="00B31B8D">
        <w:rPr>
          <w:rFonts w:cs="Arial"/>
        </w:rPr>
        <w:t xml:space="preserve">, the </w:t>
      </w:r>
      <w:r w:rsidR="008006F4">
        <w:rPr>
          <w:rFonts w:cs="Arial"/>
        </w:rPr>
        <w:t xml:space="preserve">subsequent creation of Adult Signature service enabled the Postal Service to expand the range of available product combinations to Priority Mail Express or Priority Mail with Adult Signature service. </w:t>
      </w:r>
      <w:r w:rsidR="007077DD" w:rsidRPr="00AF27CF">
        <w:rPr>
          <w:rFonts w:cs="Arial"/>
        </w:rPr>
        <w:t xml:space="preserve">See </w:t>
      </w:r>
      <w:r w:rsidR="005320D5">
        <w:rPr>
          <w:rFonts w:cs="Arial"/>
        </w:rPr>
        <w:t xml:space="preserve">Adult Signature Services, 76 </w:t>
      </w:r>
      <w:r w:rsidR="007A54C0">
        <w:rPr>
          <w:rFonts w:cs="Arial"/>
        </w:rPr>
        <w:t>FR</w:t>
      </w:r>
      <w:r w:rsidR="005320D5">
        <w:rPr>
          <w:rFonts w:cs="Arial"/>
        </w:rPr>
        <w:t xml:space="preserve"> 30542 (2011)</w:t>
      </w:r>
      <w:r w:rsidR="00DD11BD">
        <w:rPr>
          <w:rFonts w:cs="Arial"/>
        </w:rPr>
        <w:t xml:space="preserve">; Publication 52 section </w:t>
      </w:r>
      <w:r w:rsidR="00FF23A5">
        <w:rPr>
          <w:rFonts w:cs="Arial"/>
        </w:rPr>
        <w:t>472.222</w:t>
      </w:r>
      <w:r w:rsidR="0094330F">
        <w:rPr>
          <w:rFonts w:cs="Arial"/>
        </w:rPr>
        <w:t>.</w:t>
      </w:r>
      <w:r w:rsidR="00FF23A5">
        <w:rPr>
          <w:rFonts w:cs="Arial"/>
        </w:rPr>
        <w:t>a</w:t>
      </w:r>
      <w:r w:rsidR="005320D5">
        <w:rPr>
          <w:rFonts w:cs="Arial"/>
        </w:rPr>
        <w:t>.</w:t>
      </w:r>
      <w:r w:rsidR="00066D1C">
        <w:rPr>
          <w:rFonts w:cs="Arial"/>
        </w:rPr>
        <w:t xml:space="preserve"> </w:t>
      </w:r>
      <w:r w:rsidR="00CB250B">
        <w:rPr>
          <w:rFonts w:cs="Arial"/>
        </w:rPr>
        <w:t>Hence, t</w:t>
      </w:r>
      <w:r w:rsidR="0039491B">
        <w:rPr>
          <w:rFonts w:cs="Arial"/>
        </w:rPr>
        <w:t xml:space="preserve">he </w:t>
      </w:r>
      <w:r w:rsidR="0039491B">
        <w:rPr>
          <w:rFonts w:cs="Arial"/>
        </w:rPr>
        <w:lastRenderedPageBreak/>
        <w:t xml:space="preserve">Postal Service has long since offered </w:t>
      </w:r>
      <w:r w:rsidR="00CB250B">
        <w:rPr>
          <w:rFonts w:cs="Arial"/>
        </w:rPr>
        <w:t xml:space="preserve">Priority Mail–based </w:t>
      </w:r>
      <w:r w:rsidR="0039491B">
        <w:rPr>
          <w:rFonts w:cs="Arial"/>
        </w:rPr>
        <w:t xml:space="preserve">options. </w:t>
      </w:r>
      <w:r w:rsidR="00CB250B">
        <w:rPr>
          <w:rFonts w:cs="Arial"/>
        </w:rPr>
        <w:t>In this rulemaking, n</w:t>
      </w:r>
      <w:r w:rsidR="00066D1C">
        <w:rPr>
          <w:rFonts w:cs="Arial"/>
        </w:rPr>
        <w:t xml:space="preserve">o commenter expressed opposition to </w:t>
      </w:r>
      <w:r w:rsidR="001B7A27">
        <w:rPr>
          <w:rFonts w:cs="Arial"/>
        </w:rPr>
        <w:t xml:space="preserve">the continued availability of Priority Mail Express or Priority Mail with Adult Signature Service for shipments under the Business/Regulatory Purposes exception, and the Postal Service is aware of no reason to </w:t>
      </w:r>
      <w:r w:rsidR="005977E1">
        <w:rPr>
          <w:rFonts w:cs="Arial"/>
        </w:rPr>
        <w:t xml:space="preserve">restrict such availability </w:t>
      </w:r>
      <w:r w:rsidR="00651B1E">
        <w:rPr>
          <w:rFonts w:cs="Arial"/>
        </w:rPr>
        <w:t xml:space="preserve">in the context of </w:t>
      </w:r>
      <w:r w:rsidR="005977E1">
        <w:rPr>
          <w:rFonts w:cs="Arial"/>
        </w:rPr>
        <w:t>ENDS products.</w:t>
      </w:r>
    </w:p>
    <w:p w14:paraId="0ACD3E0F" w14:textId="0F0FECC8" w:rsidR="00B67672" w:rsidRPr="005320D5" w:rsidRDefault="00B67672" w:rsidP="00FD29E0">
      <w:pPr>
        <w:shd w:val="clear" w:color="auto" w:fill="FFFFFF"/>
        <w:ind w:firstLine="720"/>
        <w:rPr>
          <w:rFonts w:cs="Arial"/>
        </w:rPr>
      </w:pPr>
      <w:r>
        <w:rPr>
          <w:rFonts w:cs="Arial"/>
        </w:rPr>
        <w:t xml:space="preserve">Upon further consideration, however, it is apparent that Hold for Pickup </w:t>
      </w:r>
      <w:r w:rsidR="0038383A">
        <w:rPr>
          <w:rFonts w:cs="Arial"/>
        </w:rPr>
        <w:t>is now an inferior alternative for fulfilling the PACT Act’s verification requirements. Unlike Adult Signature service, Hold for Pickup does not inherently require age or identity verification</w:t>
      </w:r>
      <w:r w:rsidR="003A744C">
        <w:rPr>
          <w:rFonts w:cs="Arial"/>
        </w:rPr>
        <w:t xml:space="preserve">; rather, personnel must be instructed and expected to identify when a particular Hold for Pickup item requires such verification, based on mailers’ compliance with the marking requirement. </w:t>
      </w:r>
      <w:r w:rsidR="006159E6">
        <w:rPr>
          <w:rFonts w:cs="Arial"/>
        </w:rPr>
        <w:t xml:space="preserve">Because Adult Signature service now provides a more effective means to ensure verification, the Postal Service </w:t>
      </w:r>
      <w:r w:rsidR="007C1F0E">
        <w:rPr>
          <w:rFonts w:cs="Arial"/>
        </w:rPr>
        <w:t>is discontinuing</w:t>
      </w:r>
      <w:r w:rsidR="006159E6">
        <w:rPr>
          <w:rFonts w:cs="Arial"/>
        </w:rPr>
        <w:t xml:space="preserve"> the option of Priority Mail Express with Hold for Pickup service for </w:t>
      </w:r>
      <w:r w:rsidR="007C1F0E">
        <w:rPr>
          <w:rFonts w:cs="Arial"/>
        </w:rPr>
        <w:t xml:space="preserve">mailings under the Business/Regulatory Purposes exception, as well as all other PACT Act exceptions. </w:t>
      </w:r>
    </w:p>
    <w:p w14:paraId="725B1728" w14:textId="46357E3A" w:rsidR="00F730B2" w:rsidRPr="006F5D98" w:rsidRDefault="008708FA" w:rsidP="00FE6779">
      <w:pPr>
        <w:ind w:left="720" w:firstLine="720"/>
        <w:rPr>
          <w:bCs/>
        </w:rPr>
      </w:pPr>
      <w:r w:rsidRPr="00FE6779">
        <w:rPr>
          <w:b/>
          <w:bCs/>
        </w:rPr>
        <w:t>6.</w:t>
      </w:r>
      <w:r w:rsidRPr="00FE6779">
        <w:rPr>
          <w:b/>
          <w:bCs/>
        </w:rPr>
        <w:tab/>
      </w:r>
      <w:bookmarkStart w:id="37" w:name="_Toc79569822"/>
      <w:r w:rsidR="00CA5782" w:rsidRPr="00FE6779">
        <w:rPr>
          <w:b/>
          <w:bCs/>
        </w:rPr>
        <w:t>Methods of Tender</w:t>
      </w:r>
      <w:bookmarkEnd w:id="37"/>
    </w:p>
    <w:p w14:paraId="2EF708C5" w14:textId="39FBE479" w:rsidR="00B8167C" w:rsidRDefault="00D95397" w:rsidP="00FD29E0">
      <w:pPr>
        <w:shd w:val="clear" w:color="auto" w:fill="FFFFFF"/>
        <w:ind w:firstLine="720"/>
        <w:rPr>
          <w:rFonts w:cs="Arial"/>
        </w:rPr>
      </w:pPr>
      <w:r>
        <w:rPr>
          <w:rFonts w:cs="Arial"/>
        </w:rPr>
        <w:t xml:space="preserve">The Postal Service’s preexisting PACT Act regulations require Business/Regulatory Purposes shipments to be tendered </w:t>
      </w:r>
      <w:r w:rsidR="00C45B80">
        <w:rPr>
          <w:rFonts w:cs="Arial"/>
        </w:rPr>
        <w:t xml:space="preserve">via a face-to-face transaction with a Postal Service employee, other than through package pickup by a </w:t>
      </w:r>
      <w:r w:rsidR="0086752B">
        <w:rPr>
          <w:rFonts w:cs="Arial"/>
        </w:rPr>
        <w:t>letter carrier. Publication 52 section 472.222</w:t>
      </w:r>
      <w:r w:rsidR="0094330F">
        <w:rPr>
          <w:rFonts w:cs="Arial"/>
        </w:rPr>
        <w:t>.</w:t>
      </w:r>
      <w:r w:rsidR="0086752B">
        <w:rPr>
          <w:rFonts w:cs="Arial"/>
        </w:rPr>
        <w:t>a.</w:t>
      </w:r>
      <w:r w:rsidR="00E4222C">
        <w:rPr>
          <w:rFonts w:cs="Arial"/>
        </w:rPr>
        <w:t xml:space="preserve"> </w:t>
      </w:r>
      <w:proofErr w:type="gramStart"/>
      <w:r w:rsidR="00E4222C">
        <w:rPr>
          <w:rFonts w:cs="Arial"/>
        </w:rPr>
        <w:t>A number of</w:t>
      </w:r>
      <w:proofErr w:type="gramEnd"/>
      <w:r w:rsidR="00E4222C">
        <w:rPr>
          <w:rFonts w:cs="Arial"/>
        </w:rPr>
        <w:t xml:space="preserve"> ENDS industry commenters asked the Postal Service to reconsider </w:t>
      </w:r>
      <w:r w:rsidR="00924136">
        <w:rPr>
          <w:rFonts w:cs="Arial"/>
        </w:rPr>
        <w:t>what they characterized as a requirement to tender at a Post Office</w:t>
      </w:r>
      <w:r w:rsidR="00E10C9A">
        <w:rPr>
          <w:rFonts w:cs="Arial"/>
        </w:rPr>
        <w:t xml:space="preserve"> and </w:t>
      </w:r>
      <w:r w:rsidR="000C735D">
        <w:rPr>
          <w:rFonts w:cs="Arial"/>
        </w:rPr>
        <w:t xml:space="preserve">to </w:t>
      </w:r>
      <w:r w:rsidR="00E10C9A">
        <w:rPr>
          <w:rFonts w:cs="Arial"/>
        </w:rPr>
        <w:t xml:space="preserve">allow </w:t>
      </w:r>
      <w:r w:rsidR="00C54093">
        <w:rPr>
          <w:rFonts w:cs="Arial"/>
        </w:rPr>
        <w:t xml:space="preserve">Pickup on Demand, </w:t>
      </w:r>
      <w:r w:rsidR="00E10C9A">
        <w:rPr>
          <w:rFonts w:cs="Arial"/>
        </w:rPr>
        <w:t>package pickup</w:t>
      </w:r>
      <w:r w:rsidR="00C54093">
        <w:rPr>
          <w:rFonts w:cs="Arial"/>
        </w:rPr>
        <w:t>,</w:t>
      </w:r>
      <w:r w:rsidR="00E10C9A">
        <w:rPr>
          <w:rFonts w:cs="Arial"/>
        </w:rPr>
        <w:t xml:space="preserve"> </w:t>
      </w:r>
      <w:r w:rsidR="000C735D">
        <w:rPr>
          <w:rFonts w:cs="Arial"/>
        </w:rPr>
        <w:t xml:space="preserve">or </w:t>
      </w:r>
      <w:r w:rsidR="00195AB4">
        <w:rPr>
          <w:rFonts w:cs="Arial"/>
        </w:rPr>
        <w:t xml:space="preserve">business </w:t>
      </w:r>
      <w:r w:rsidR="000C735D">
        <w:rPr>
          <w:rFonts w:cs="Arial"/>
        </w:rPr>
        <w:t xml:space="preserve">mail acceptance </w:t>
      </w:r>
      <w:r w:rsidR="00E10C9A">
        <w:rPr>
          <w:rFonts w:cs="Arial"/>
        </w:rPr>
        <w:t>for excepted shipments.</w:t>
      </w:r>
      <w:r w:rsidR="00924136">
        <w:rPr>
          <w:rFonts w:cs="Arial"/>
        </w:rPr>
        <w:t xml:space="preserve"> Some such </w:t>
      </w:r>
      <w:r w:rsidR="00924136">
        <w:rPr>
          <w:rFonts w:cs="Arial"/>
        </w:rPr>
        <w:lastRenderedPageBreak/>
        <w:t xml:space="preserve">commenters </w:t>
      </w:r>
      <w:r w:rsidR="00B8167C">
        <w:rPr>
          <w:rFonts w:cs="Arial"/>
        </w:rPr>
        <w:t>noted that the purported requirement is not grounded in the text of the PACT Act.</w:t>
      </w:r>
    </w:p>
    <w:p w14:paraId="2044FCA6" w14:textId="6E68947B" w:rsidR="004A2060" w:rsidRDefault="00E10C9A" w:rsidP="00FD29E0">
      <w:pPr>
        <w:shd w:val="clear" w:color="auto" w:fill="FFFFFF"/>
        <w:ind w:firstLine="720"/>
        <w:rPr>
          <w:rFonts w:cs="Arial"/>
        </w:rPr>
      </w:pPr>
      <w:r>
        <w:rPr>
          <w:rFonts w:cs="Arial"/>
        </w:rPr>
        <w:t xml:space="preserve"> </w:t>
      </w:r>
      <w:r w:rsidR="00407278">
        <w:rPr>
          <w:rFonts w:cs="Arial"/>
        </w:rPr>
        <w:t xml:space="preserve">The commenters misperceive </w:t>
      </w:r>
      <w:r w:rsidR="00EB5D17">
        <w:rPr>
          <w:rFonts w:cs="Arial"/>
        </w:rPr>
        <w:t xml:space="preserve">somewhat </w:t>
      </w:r>
      <w:r w:rsidR="00407278">
        <w:rPr>
          <w:rFonts w:cs="Arial"/>
        </w:rPr>
        <w:t xml:space="preserve">the import of the face-to-face transaction requirement. </w:t>
      </w:r>
      <w:r w:rsidR="009A501A">
        <w:rPr>
          <w:rFonts w:cs="Arial"/>
        </w:rPr>
        <w:t>For customers using the Business/Regulatory Purposes exception, o</w:t>
      </w:r>
      <w:r w:rsidR="00EB5D17">
        <w:rPr>
          <w:rFonts w:cs="Arial"/>
        </w:rPr>
        <w:t xml:space="preserve">nly </w:t>
      </w:r>
      <w:r w:rsidR="00C54093">
        <w:rPr>
          <w:rFonts w:cs="Arial"/>
        </w:rPr>
        <w:t xml:space="preserve">Pickup on Demand and </w:t>
      </w:r>
      <w:r w:rsidR="00EB5D17">
        <w:rPr>
          <w:rFonts w:cs="Arial"/>
        </w:rPr>
        <w:t xml:space="preserve">package pickup </w:t>
      </w:r>
      <w:r w:rsidR="00C54093">
        <w:rPr>
          <w:rFonts w:cs="Arial"/>
        </w:rPr>
        <w:t xml:space="preserve">are </w:t>
      </w:r>
      <w:r w:rsidR="00195AB4">
        <w:rPr>
          <w:rFonts w:cs="Arial"/>
        </w:rPr>
        <w:t>precluded</w:t>
      </w:r>
      <w:r w:rsidR="0000267F">
        <w:rPr>
          <w:rFonts w:cs="Arial"/>
        </w:rPr>
        <w:t xml:space="preserve">; </w:t>
      </w:r>
      <w:r w:rsidR="00195AB4">
        <w:rPr>
          <w:rFonts w:cs="Arial"/>
        </w:rPr>
        <w:t xml:space="preserve">nothing in Postal Service regulations prohibits </w:t>
      </w:r>
      <w:r w:rsidR="00C951F0">
        <w:rPr>
          <w:rFonts w:cs="Arial"/>
        </w:rPr>
        <w:t xml:space="preserve">tender at a </w:t>
      </w:r>
      <w:r w:rsidR="00195AB4">
        <w:rPr>
          <w:rFonts w:cs="Arial"/>
        </w:rPr>
        <w:t xml:space="preserve">business mail </w:t>
      </w:r>
      <w:r w:rsidR="00C951F0">
        <w:rPr>
          <w:rFonts w:cs="Arial"/>
        </w:rPr>
        <w:t xml:space="preserve">entry unit </w:t>
      </w:r>
      <w:r w:rsidR="00A35D58">
        <w:rPr>
          <w:rFonts w:cs="Arial"/>
        </w:rPr>
        <w:t xml:space="preserve">or </w:t>
      </w:r>
      <w:r w:rsidR="0086529A">
        <w:rPr>
          <w:rFonts w:cs="Arial"/>
        </w:rPr>
        <w:t xml:space="preserve">at authorized </w:t>
      </w:r>
      <w:r w:rsidR="00A31547">
        <w:rPr>
          <w:rFonts w:cs="Arial"/>
        </w:rPr>
        <w:t xml:space="preserve">acceptance locations at a Post Office other than the retail counter, so long as a Postal Service employee accepts the items via an in-person, face-to-face </w:t>
      </w:r>
      <w:r w:rsidR="004F7D67">
        <w:rPr>
          <w:rFonts w:cs="Arial"/>
        </w:rPr>
        <w:t>encounter.</w:t>
      </w:r>
      <w:r w:rsidR="009A501A">
        <w:rPr>
          <w:rFonts w:cs="Arial"/>
        </w:rPr>
        <w:t xml:space="preserve"> </w:t>
      </w:r>
      <w:r w:rsidR="009A501A" w:rsidRPr="00AF27CF">
        <w:rPr>
          <w:rFonts w:cs="Arial"/>
        </w:rPr>
        <w:t>But see</w:t>
      </w:r>
      <w:r w:rsidR="009A501A">
        <w:rPr>
          <w:rFonts w:cs="Arial"/>
        </w:rPr>
        <w:t xml:space="preserve"> DMM </w:t>
      </w:r>
      <w:r w:rsidR="003251B5">
        <w:rPr>
          <w:rFonts w:cs="Arial"/>
        </w:rPr>
        <w:t xml:space="preserve">section </w:t>
      </w:r>
      <w:r w:rsidR="00806581">
        <w:rPr>
          <w:rFonts w:cs="Arial"/>
        </w:rPr>
        <w:t>503.8.1.3 (requiring tender at a retail counter for customers using Adult Signature service</w:t>
      </w:r>
      <w:r w:rsidR="00CE4368">
        <w:rPr>
          <w:rFonts w:cs="Arial"/>
        </w:rPr>
        <w:t xml:space="preserve"> to mail under the Certain Individuals exception</w:t>
      </w:r>
      <w:r w:rsidR="00806581">
        <w:rPr>
          <w:rFonts w:cs="Arial"/>
        </w:rPr>
        <w:t>).</w:t>
      </w:r>
      <w:r w:rsidR="006067DF">
        <w:rPr>
          <w:rFonts w:cs="Arial"/>
        </w:rPr>
        <w:t xml:space="preserve"> </w:t>
      </w:r>
      <w:r w:rsidR="00966983">
        <w:rPr>
          <w:rFonts w:cs="Arial"/>
        </w:rPr>
        <w:t xml:space="preserve">To promote clarity, the final rule includes explicit mentions of </w:t>
      </w:r>
      <w:r w:rsidR="00315E19">
        <w:rPr>
          <w:rFonts w:cs="Arial"/>
        </w:rPr>
        <w:t xml:space="preserve">retail and/or business mail acceptance locations. </w:t>
      </w:r>
      <w:r w:rsidR="006067DF">
        <w:rPr>
          <w:rFonts w:cs="Arial"/>
        </w:rPr>
        <w:t xml:space="preserve">The Postal Service hopes that this clarification should help to dispel the commenters’ </w:t>
      </w:r>
      <w:r w:rsidR="0086529A">
        <w:rPr>
          <w:rFonts w:cs="Arial"/>
        </w:rPr>
        <w:t>fears of bottlenecks at retail counters.</w:t>
      </w:r>
    </w:p>
    <w:p w14:paraId="2E2850FC" w14:textId="6C44E2F1" w:rsidR="00BC0337" w:rsidRDefault="00D54602" w:rsidP="00FD29E0">
      <w:pPr>
        <w:shd w:val="clear" w:color="auto" w:fill="FFFFFF"/>
        <w:ind w:firstLine="720"/>
        <w:rPr>
          <w:rFonts w:cs="Arial"/>
        </w:rPr>
      </w:pPr>
      <w:r>
        <w:rPr>
          <w:rFonts w:cs="Arial"/>
        </w:rPr>
        <w:t xml:space="preserve">That said, the Postal Service declines to reconsider the prohibition on </w:t>
      </w:r>
      <w:r w:rsidR="00B3094C">
        <w:rPr>
          <w:rFonts w:cs="Arial"/>
        </w:rPr>
        <w:t xml:space="preserve">Pickup on Demand and </w:t>
      </w:r>
      <w:r>
        <w:rPr>
          <w:rFonts w:cs="Arial"/>
        </w:rPr>
        <w:t xml:space="preserve">package pickup. </w:t>
      </w:r>
      <w:r w:rsidR="0049319C">
        <w:rPr>
          <w:rFonts w:cs="Arial"/>
        </w:rPr>
        <w:t>T</w:t>
      </w:r>
      <w:r w:rsidR="0047745B">
        <w:rPr>
          <w:rFonts w:cs="Arial"/>
        </w:rPr>
        <w:t xml:space="preserve">he centralized application process is intended to streamline the </w:t>
      </w:r>
      <w:r w:rsidR="006247FD">
        <w:rPr>
          <w:rFonts w:cs="Arial"/>
        </w:rPr>
        <w:t xml:space="preserve">extent </w:t>
      </w:r>
      <w:r w:rsidR="0047745B">
        <w:rPr>
          <w:rFonts w:cs="Arial"/>
        </w:rPr>
        <w:t xml:space="preserve">of verification that would otherwise be required </w:t>
      </w:r>
      <w:r w:rsidR="006247FD">
        <w:rPr>
          <w:rFonts w:cs="Arial"/>
        </w:rPr>
        <w:t>upon acceptance pursuant to 18 U.S.C. 1716E(b)(3)(B)(ii)(I)–(II)</w:t>
      </w:r>
      <w:r w:rsidR="0049319C">
        <w:rPr>
          <w:rFonts w:cs="Arial"/>
        </w:rPr>
        <w:t xml:space="preserve">, but </w:t>
      </w:r>
      <w:r w:rsidR="00B84443">
        <w:rPr>
          <w:rFonts w:cs="Arial"/>
        </w:rPr>
        <w:t xml:space="preserve">it cannot supplant acceptance verification entirely. </w:t>
      </w:r>
      <w:r w:rsidR="00506D1E">
        <w:rPr>
          <w:rFonts w:cs="Arial"/>
        </w:rPr>
        <w:t>Something must be done to associate the PCSC’s determination of eligibility with a given mailing</w:t>
      </w:r>
      <w:r w:rsidR="000D3386">
        <w:rPr>
          <w:rFonts w:cs="Arial"/>
        </w:rPr>
        <w:t xml:space="preserve">: otherwise, the Postal Service personnel faced with an apparent mailing of a prohibited product have no way to determine its legitimacy, defeating the whole purpose of PCSC verification. </w:t>
      </w:r>
      <w:r w:rsidR="00CD5F0C">
        <w:rPr>
          <w:rFonts w:cs="Arial"/>
        </w:rPr>
        <w:t xml:space="preserve">For this reason, while </w:t>
      </w:r>
      <w:r w:rsidR="001851FF">
        <w:rPr>
          <w:rFonts w:cs="Arial"/>
        </w:rPr>
        <w:t xml:space="preserve">a mailer </w:t>
      </w:r>
      <w:r w:rsidR="00CD5F0C">
        <w:rPr>
          <w:rFonts w:cs="Arial"/>
        </w:rPr>
        <w:t xml:space="preserve">need not submit the entire </w:t>
      </w:r>
      <w:r w:rsidR="001851FF">
        <w:rPr>
          <w:rFonts w:cs="Arial"/>
        </w:rPr>
        <w:t xml:space="preserve">dossier of </w:t>
      </w:r>
      <w:r w:rsidR="00CD5F0C">
        <w:rPr>
          <w:rFonts w:cs="Arial"/>
        </w:rPr>
        <w:lastRenderedPageBreak/>
        <w:t xml:space="preserve">eligibility documentation </w:t>
      </w:r>
      <w:r w:rsidR="001851FF">
        <w:rPr>
          <w:rFonts w:cs="Arial"/>
        </w:rPr>
        <w:t xml:space="preserve">with each mailing, the mailer must at least show a Postal Service employee the PCSC’s determination of eligibility, so that the Postal Service </w:t>
      </w:r>
      <w:r w:rsidR="00B97538">
        <w:rPr>
          <w:rFonts w:cs="Arial"/>
        </w:rPr>
        <w:t>can be assured that the package may lawfully be accepted.</w:t>
      </w:r>
    </w:p>
    <w:p w14:paraId="54C57EC4" w14:textId="5C3267D9" w:rsidR="0086529A" w:rsidRDefault="002972F6" w:rsidP="00FD29E0">
      <w:pPr>
        <w:shd w:val="clear" w:color="auto" w:fill="FFFFFF"/>
        <w:ind w:firstLine="720"/>
        <w:rPr>
          <w:rFonts w:cs="Arial"/>
        </w:rPr>
      </w:pPr>
      <w:r>
        <w:rPr>
          <w:rFonts w:cs="Arial"/>
        </w:rPr>
        <w:t>Pickup on Demand and p</w:t>
      </w:r>
      <w:r w:rsidR="00B97538">
        <w:rPr>
          <w:rFonts w:cs="Arial"/>
        </w:rPr>
        <w:t xml:space="preserve">ackage pickup </w:t>
      </w:r>
      <w:r w:rsidR="00D4784D">
        <w:rPr>
          <w:rFonts w:cs="Arial"/>
        </w:rPr>
        <w:t xml:space="preserve">do not provide </w:t>
      </w:r>
      <w:r w:rsidR="00BC0337">
        <w:rPr>
          <w:rFonts w:cs="Arial"/>
        </w:rPr>
        <w:t xml:space="preserve">adequate </w:t>
      </w:r>
      <w:r w:rsidR="00D4784D">
        <w:rPr>
          <w:rFonts w:cs="Arial"/>
        </w:rPr>
        <w:t xml:space="preserve">assurance that </w:t>
      </w:r>
      <w:r w:rsidR="00BC0337">
        <w:rPr>
          <w:rFonts w:cs="Arial"/>
        </w:rPr>
        <w:t xml:space="preserve">the </w:t>
      </w:r>
      <w:r w:rsidR="00D4784D">
        <w:rPr>
          <w:rFonts w:cs="Arial"/>
        </w:rPr>
        <w:t xml:space="preserve">face-to-face interaction </w:t>
      </w:r>
      <w:r w:rsidR="00BC0337">
        <w:rPr>
          <w:rFonts w:cs="Arial"/>
        </w:rPr>
        <w:t xml:space="preserve">necessary to </w:t>
      </w:r>
      <w:r w:rsidR="00EB3A02">
        <w:rPr>
          <w:rFonts w:cs="Arial"/>
        </w:rPr>
        <w:t xml:space="preserve">connect PCSC </w:t>
      </w:r>
      <w:r w:rsidR="00FA685B">
        <w:rPr>
          <w:rFonts w:cs="Arial"/>
        </w:rPr>
        <w:t>authorization</w:t>
      </w:r>
      <w:r w:rsidR="00EB3A02">
        <w:rPr>
          <w:rFonts w:cs="Arial"/>
        </w:rPr>
        <w:t xml:space="preserve"> with a given package </w:t>
      </w:r>
      <w:r w:rsidR="00D4784D">
        <w:rPr>
          <w:rFonts w:cs="Arial"/>
        </w:rPr>
        <w:t>will occur</w:t>
      </w:r>
      <w:r w:rsidR="00EB3A02">
        <w:rPr>
          <w:rFonts w:cs="Arial"/>
        </w:rPr>
        <w:t xml:space="preserve"> in all cases</w:t>
      </w:r>
      <w:r w:rsidR="00BC0337">
        <w:rPr>
          <w:rFonts w:cs="Arial"/>
        </w:rPr>
        <w:t>. M</w:t>
      </w:r>
      <w:r w:rsidR="00D4784D">
        <w:rPr>
          <w:rFonts w:cs="Arial"/>
        </w:rPr>
        <w:t xml:space="preserve">uch of the customer convenience underlying </w:t>
      </w:r>
      <w:r w:rsidR="00FA685B">
        <w:rPr>
          <w:rFonts w:cs="Arial"/>
        </w:rPr>
        <w:t xml:space="preserve">Pickup on Demand and </w:t>
      </w:r>
      <w:r w:rsidR="00D4784D">
        <w:rPr>
          <w:rFonts w:cs="Arial"/>
        </w:rPr>
        <w:t xml:space="preserve">package pickup is in the fact that packages may be left passively for a carrier to pick up </w:t>
      </w:r>
      <w:r w:rsidR="00D4784D">
        <w:rPr>
          <w:rFonts w:cs="Arial"/>
          <w:u w:val="single"/>
        </w:rPr>
        <w:t>without</w:t>
      </w:r>
      <w:r w:rsidR="00D4784D">
        <w:rPr>
          <w:rFonts w:cs="Arial"/>
        </w:rPr>
        <w:t xml:space="preserve"> the need for in-person interaction.</w:t>
      </w:r>
      <w:r w:rsidR="00EB3A02">
        <w:rPr>
          <w:rFonts w:cs="Arial"/>
        </w:rPr>
        <w:t xml:space="preserve"> </w:t>
      </w:r>
      <w:r w:rsidR="00CC320D">
        <w:rPr>
          <w:rFonts w:cs="Arial"/>
        </w:rPr>
        <w:t xml:space="preserve">If </w:t>
      </w:r>
      <w:r w:rsidR="00FA685B">
        <w:rPr>
          <w:rFonts w:cs="Arial"/>
        </w:rPr>
        <w:t xml:space="preserve">Pickup on Demand and </w:t>
      </w:r>
      <w:r w:rsidR="00CC320D">
        <w:rPr>
          <w:rFonts w:cs="Arial"/>
        </w:rPr>
        <w:t xml:space="preserve">package pickup services were made available subject to a requirement for face-to-face interaction and verification, </w:t>
      </w:r>
      <w:r w:rsidR="00810D5E">
        <w:rPr>
          <w:rFonts w:cs="Arial"/>
        </w:rPr>
        <w:t xml:space="preserve">then this would raise secondary questions of how a carrier would know when </w:t>
      </w:r>
      <w:r w:rsidR="00365471">
        <w:rPr>
          <w:rFonts w:cs="Arial"/>
        </w:rPr>
        <w:t xml:space="preserve">the requirements apply </w:t>
      </w:r>
      <w:r w:rsidR="00810D5E">
        <w:rPr>
          <w:rFonts w:cs="Arial"/>
        </w:rPr>
        <w:t>and</w:t>
      </w:r>
      <w:r w:rsidR="00076047">
        <w:rPr>
          <w:rFonts w:cs="Arial"/>
        </w:rPr>
        <w:t xml:space="preserve">, more importantly, how the Postal Service could guard against circumvention by customers who do not engage in the requisite request for face-to-face pickup. </w:t>
      </w:r>
      <w:r w:rsidR="001670E4">
        <w:rPr>
          <w:rFonts w:cs="Arial"/>
        </w:rPr>
        <w:t xml:space="preserve">Moreover, requiring carriers to take the time for face-to-face verification </w:t>
      </w:r>
      <w:r w:rsidR="0094412A">
        <w:rPr>
          <w:rFonts w:cs="Arial"/>
        </w:rPr>
        <w:t xml:space="preserve">would increase the time required for carriers to service their routes, </w:t>
      </w:r>
      <w:r w:rsidR="00A61B15">
        <w:rPr>
          <w:rFonts w:cs="Arial"/>
        </w:rPr>
        <w:t>with negative effects on efficiency and service to other customers.</w:t>
      </w:r>
      <w:r w:rsidR="008C25DE">
        <w:rPr>
          <w:rStyle w:val="FootnoteReference"/>
          <w:rFonts w:cs="Arial"/>
        </w:rPr>
        <w:footnoteReference w:id="25"/>
      </w:r>
      <w:r w:rsidR="00A61B15">
        <w:rPr>
          <w:rFonts w:cs="Arial"/>
        </w:rPr>
        <w:t xml:space="preserve"> </w:t>
      </w:r>
      <w:r w:rsidR="00776447">
        <w:rPr>
          <w:rFonts w:cs="Arial"/>
        </w:rPr>
        <w:t xml:space="preserve">Because </w:t>
      </w:r>
      <w:r w:rsidR="00064283">
        <w:rPr>
          <w:rFonts w:cs="Arial"/>
        </w:rPr>
        <w:t xml:space="preserve">allowing </w:t>
      </w:r>
      <w:r w:rsidR="009D79C4">
        <w:rPr>
          <w:rFonts w:cs="Arial"/>
        </w:rPr>
        <w:t xml:space="preserve">Pickup on Demand and </w:t>
      </w:r>
      <w:r w:rsidR="00776447">
        <w:rPr>
          <w:rFonts w:cs="Arial"/>
        </w:rPr>
        <w:t xml:space="preserve">package pickup </w:t>
      </w:r>
      <w:r w:rsidR="00064283">
        <w:rPr>
          <w:rFonts w:cs="Arial"/>
        </w:rPr>
        <w:t xml:space="preserve">for excepted mailings </w:t>
      </w:r>
      <w:r w:rsidR="00776447">
        <w:rPr>
          <w:rFonts w:cs="Arial"/>
        </w:rPr>
        <w:t xml:space="preserve">would diminish </w:t>
      </w:r>
      <w:r w:rsidR="00147141">
        <w:rPr>
          <w:rFonts w:cs="Arial"/>
        </w:rPr>
        <w:t xml:space="preserve">the fulfillment of the Postal Service’s obligations under both the PACT Act (i.e., verification of </w:t>
      </w:r>
      <w:r w:rsidR="006F679E">
        <w:rPr>
          <w:rFonts w:cs="Arial"/>
        </w:rPr>
        <w:t>eligibility prior to acceptance</w:t>
      </w:r>
      <w:r w:rsidR="00147141">
        <w:rPr>
          <w:rFonts w:cs="Arial"/>
        </w:rPr>
        <w:t>)</w:t>
      </w:r>
      <w:r w:rsidR="006F679E">
        <w:rPr>
          <w:rFonts w:cs="Arial"/>
        </w:rPr>
        <w:t xml:space="preserve"> and its governing statutes more generally, </w:t>
      </w:r>
      <w:r w:rsidR="00064283">
        <w:rPr>
          <w:rFonts w:cs="Arial"/>
        </w:rPr>
        <w:t xml:space="preserve">the Postal Service determines that </w:t>
      </w:r>
      <w:r w:rsidR="006C4CBC">
        <w:rPr>
          <w:rFonts w:cs="Arial"/>
        </w:rPr>
        <w:t xml:space="preserve">Pickup on Demand and </w:t>
      </w:r>
      <w:r w:rsidR="005C44F0">
        <w:rPr>
          <w:rFonts w:cs="Arial"/>
        </w:rPr>
        <w:t xml:space="preserve">package pickup </w:t>
      </w:r>
      <w:r w:rsidR="00475464">
        <w:rPr>
          <w:rFonts w:cs="Arial"/>
        </w:rPr>
        <w:t>remain unacceptable.</w:t>
      </w:r>
    </w:p>
    <w:p w14:paraId="4A85D32E" w14:textId="4E27E061" w:rsidR="007949F2" w:rsidRPr="006F5D98" w:rsidRDefault="008708FA" w:rsidP="00FE6779">
      <w:pPr>
        <w:ind w:left="720" w:firstLine="720"/>
        <w:rPr>
          <w:bCs/>
        </w:rPr>
      </w:pPr>
      <w:r w:rsidRPr="00FE6779">
        <w:rPr>
          <w:b/>
          <w:bCs/>
        </w:rPr>
        <w:lastRenderedPageBreak/>
        <w:t>7.</w:t>
      </w:r>
      <w:r w:rsidRPr="00FE6779">
        <w:rPr>
          <w:b/>
          <w:bCs/>
        </w:rPr>
        <w:tab/>
      </w:r>
      <w:bookmarkStart w:id="38" w:name="_Toc79569823"/>
      <w:r w:rsidR="007949F2" w:rsidRPr="00FE6779">
        <w:rPr>
          <w:b/>
          <w:bCs/>
        </w:rPr>
        <w:t>Delivery Requirements</w:t>
      </w:r>
      <w:bookmarkEnd w:id="38"/>
    </w:p>
    <w:p w14:paraId="5F66212C" w14:textId="56828E6E" w:rsidR="004A5D99" w:rsidRDefault="0089593E" w:rsidP="004A5D99">
      <w:pPr>
        <w:shd w:val="clear" w:color="auto" w:fill="FFFFFF"/>
        <w:ind w:firstLine="720"/>
      </w:pPr>
      <w:r>
        <w:rPr>
          <w:rFonts w:cs="Arial"/>
        </w:rPr>
        <w:t xml:space="preserve">In addition to ensuring that the addressee is eligible to receive </w:t>
      </w:r>
      <w:r w:rsidR="007D5042">
        <w:rPr>
          <w:rFonts w:cs="Arial"/>
        </w:rPr>
        <w:t xml:space="preserve">shipments under the Business/Regulatory Purposes exception, the PACT Act requires the Postal Service to </w:t>
      </w:r>
      <w:r w:rsidR="000F5D08">
        <w:t xml:space="preserve">ensure </w:t>
      </w:r>
      <w:r w:rsidR="00E300CB">
        <w:t xml:space="preserve">(1) that delivery is made only to a verified employee of the </w:t>
      </w:r>
      <w:r>
        <w:t>addressee</w:t>
      </w:r>
      <w:r w:rsidR="00FE081B">
        <w:t>; (</w:t>
      </w:r>
      <w:r>
        <w:t>2</w:t>
      </w:r>
      <w:r w:rsidR="00FE081B">
        <w:t>) that the</w:t>
      </w:r>
      <w:r w:rsidR="005207E8">
        <w:t xml:space="preserve"> receiving employee be verified to be at least the minimum age for purchase or sale of the relevant products; and (</w:t>
      </w:r>
      <w:r>
        <w:t>3</w:t>
      </w:r>
      <w:r w:rsidR="005207E8">
        <w:t xml:space="preserve">) that the receiving employee </w:t>
      </w:r>
      <w:r w:rsidR="00E300CB">
        <w:t>be required to sign for the mailing. 18 U.S.C. 1716E(b)(3)(B)(ii)(II), (VII).</w:t>
      </w:r>
      <w:r w:rsidR="00C4546B">
        <w:t xml:space="preserve"> Accordingly, the Postal Service’s PACT Act regulations have required recipients to show proof of employment status with </w:t>
      </w:r>
      <w:r w:rsidR="00D863F7">
        <w:t>the addressee business or government agency; to show proof of age; and to sign the return receipt. Publication 52 section 472.223. The Postal Service did not propose to change these requirements.</w:t>
      </w:r>
    </w:p>
    <w:p w14:paraId="4CCB6F12" w14:textId="7D48F110" w:rsidR="00D863F7" w:rsidRDefault="0006611B" w:rsidP="004A5D99">
      <w:pPr>
        <w:shd w:val="clear" w:color="auto" w:fill="FFFFFF"/>
        <w:ind w:firstLine="720"/>
        <w:rPr>
          <w:rFonts w:cs="Arial"/>
        </w:rPr>
      </w:pPr>
      <w:r>
        <w:rPr>
          <w:rFonts w:cs="Arial"/>
        </w:rPr>
        <w:t>S</w:t>
      </w:r>
      <w:r w:rsidR="00612A50">
        <w:rPr>
          <w:rFonts w:cs="Arial"/>
        </w:rPr>
        <w:t xml:space="preserve">ome ENDS industry commenters </w:t>
      </w:r>
      <w:r w:rsidR="00D934B0">
        <w:rPr>
          <w:rFonts w:cs="Arial"/>
        </w:rPr>
        <w:t xml:space="preserve">asked that </w:t>
      </w:r>
      <w:r w:rsidR="00AC0D0B">
        <w:rPr>
          <w:rFonts w:cs="Arial"/>
        </w:rPr>
        <w:t xml:space="preserve">delivery options be expanded from Priority Mail Express with Hold for Pickup service to allow carrier delivery. </w:t>
      </w:r>
      <w:r w:rsidR="00185DC3">
        <w:rPr>
          <w:rFonts w:cs="Arial"/>
        </w:rPr>
        <w:t xml:space="preserve">As </w:t>
      </w:r>
      <w:r w:rsidR="009C44B4">
        <w:rPr>
          <w:rFonts w:cs="Arial"/>
        </w:rPr>
        <w:t xml:space="preserve">discussed </w:t>
      </w:r>
      <w:r w:rsidR="00185DC3">
        <w:rPr>
          <w:rFonts w:cs="Arial"/>
        </w:rPr>
        <w:t xml:space="preserve">in section </w:t>
      </w:r>
      <w:r w:rsidR="00185DC3" w:rsidRPr="0022072C">
        <w:rPr>
          <w:rFonts w:cs="Arial"/>
        </w:rPr>
        <w:t>III.G.5</w:t>
      </w:r>
      <w:r w:rsidR="00185DC3">
        <w:rPr>
          <w:rFonts w:cs="Arial"/>
        </w:rPr>
        <w:t xml:space="preserve">, </w:t>
      </w:r>
      <w:r>
        <w:rPr>
          <w:rFonts w:cs="Arial"/>
        </w:rPr>
        <w:t>this request has long since been fulfilled. T</w:t>
      </w:r>
      <w:r w:rsidR="00185DC3">
        <w:rPr>
          <w:rFonts w:cs="Arial"/>
        </w:rPr>
        <w:t xml:space="preserve">he Postal Service in 2011 expanded the range of available services to include Priority Mail Express or Priority Mail with Adult Signature service. </w:t>
      </w:r>
      <w:r w:rsidR="005A2AF5">
        <w:rPr>
          <w:rFonts w:cs="Arial"/>
        </w:rPr>
        <w:t>Unlike Hold for Pickup, which requires a recipient to retrieve a package from a local Post Office, Adult Signature service can be fulfilled by a letter carrier. As such, the Postal Service</w:t>
      </w:r>
      <w:r w:rsidR="00F06720">
        <w:rPr>
          <w:rFonts w:cs="Arial"/>
        </w:rPr>
        <w:t>’s longstanding regulations already include carrier delivery options.</w:t>
      </w:r>
      <w:r w:rsidR="007D10A0">
        <w:rPr>
          <w:rFonts w:cs="Arial"/>
        </w:rPr>
        <w:t xml:space="preserve"> As</w:t>
      </w:r>
      <w:r w:rsidR="00773462">
        <w:rPr>
          <w:rFonts w:cs="Arial"/>
        </w:rPr>
        <w:t xml:space="preserve"> also</w:t>
      </w:r>
      <w:r w:rsidR="007D10A0">
        <w:rPr>
          <w:rFonts w:cs="Arial"/>
        </w:rPr>
        <w:t xml:space="preserve"> noted in </w:t>
      </w:r>
      <w:r w:rsidR="007D10A0" w:rsidRPr="00773462">
        <w:rPr>
          <w:rFonts w:cs="Arial"/>
        </w:rPr>
        <w:t xml:space="preserve">section </w:t>
      </w:r>
      <w:r w:rsidR="007D10A0" w:rsidRPr="0022072C">
        <w:rPr>
          <w:rFonts w:cs="Arial"/>
        </w:rPr>
        <w:t>III.G.5</w:t>
      </w:r>
      <w:r w:rsidR="007D10A0" w:rsidRPr="00773462">
        <w:rPr>
          <w:rFonts w:cs="Arial"/>
        </w:rPr>
        <w:t>, however</w:t>
      </w:r>
      <w:r w:rsidR="007D10A0">
        <w:rPr>
          <w:rFonts w:cs="Arial"/>
        </w:rPr>
        <w:t>, the Postal Service has now determined to discontinue the availability of the Hold for Pickup</w:t>
      </w:r>
      <w:r w:rsidR="00F73CC4">
        <w:rPr>
          <w:rFonts w:cs="Arial"/>
        </w:rPr>
        <w:t xml:space="preserve"> </w:t>
      </w:r>
      <w:r w:rsidR="007D10A0">
        <w:rPr>
          <w:rFonts w:cs="Arial"/>
        </w:rPr>
        <w:t>option</w:t>
      </w:r>
      <w:r w:rsidR="005C53B9">
        <w:rPr>
          <w:rFonts w:cs="Arial"/>
        </w:rPr>
        <w:t>; this does not affect the availability of Adult Signature</w:t>
      </w:r>
      <w:r w:rsidR="00BE479C">
        <w:rPr>
          <w:rFonts w:cs="Arial"/>
        </w:rPr>
        <w:t xml:space="preserve"> </w:t>
      </w:r>
      <w:r w:rsidR="005C53B9">
        <w:rPr>
          <w:rFonts w:cs="Arial"/>
        </w:rPr>
        <w:t>options that are compatible with carrier delivery.</w:t>
      </w:r>
    </w:p>
    <w:p w14:paraId="2182DCE0" w14:textId="24122D00" w:rsidR="00F06720" w:rsidRDefault="00990D4B" w:rsidP="004A5D99">
      <w:pPr>
        <w:shd w:val="clear" w:color="auto" w:fill="FFFFFF"/>
        <w:ind w:firstLine="720"/>
        <w:rPr>
          <w:rFonts w:cs="Arial"/>
        </w:rPr>
      </w:pPr>
      <w:r>
        <w:rPr>
          <w:rFonts w:cs="Arial"/>
        </w:rPr>
        <w:lastRenderedPageBreak/>
        <w:t xml:space="preserve">One ENDS industry association recommended that </w:t>
      </w:r>
      <w:r w:rsidR="00AB555D">
        <w:rPr>
          <w:rFonts w:cs="Arial"/>
        </w:rPr>
        <w:t xml:space="preserve">the final rule expressly contemplate a signed letter </w:t>
      </w:r>
      <w:r w:rsidR="00DB1C9B">
        <w:rPr>
          <w:rFonts w:cs="Arial"/>
        </w:rPr>
        <w:t>from an employer</w:t>
      </w:r>
      <w:r w:rsidR="00AB555D">
        <w:rPr>
          <w:rFonts w:cs="Arial"/>
        </w:rPr>
        <w:t xml:space="preserve"> as proof of employment. </w:t>
      </w:r>
      <w:r w:rsidR="00450464">
        <w:rPr>
          <w:rFonts w:cs="Arial"/>
        </w:rPr>
        <w:t xml:space="preserve">The Postal Service </w:t>
      </w:r>
      <w:r w:rsidR="00B40D96">
        <w:rPr>
          <w:rFonts w:cs="Arial"/>
        </w:rPr>
        <w:t xml:space="preserve">recognizes that the preexisting PACT Act regulations are </w:t>
      </w:r>
      <w:r w:rsidR="00982A97">
        <w:rPr>
          <w:rFonts w:cs="Arial"/>
        </w:rPr>
        <w:t xml:space="preserve">not specific on this point, and that lay readers may benefit from additional clarity. Therefore, the final rule offers examples of acceptable employment documentation, including </w:t>
      </w:r>
      <w:r w:rsidR="00E41325">
        <w:rPr>
          <w:rFonts w:cs="Arial"/>
        </w:rPr>
        <w:t xml:space="preserve">an employee identification </w:t>
      </w:r>
      <w:r w:rsidR="00D375E2">
        <w:rPr>
          <w:rFonts w:cs="Arial"/>
        </w:rPr>
        <w:t>badge or card</w:t>
      </w:r>
      <w:r w:rsidR="000B2D37">
        <w:rPr>
          <w:rFonts w:cs="Arial"/>
        </w:rPr>
        <w:t xml:space="preserve">, a </w:t>
      </w:r>
      <w:r w:rsidR="007D7297">
        <w:rPr>
          <w:rFonts w:cs="Arial"/>
        </w:rPr>
        <w:t xml:space="preserve">recent </w:t>
      </w:r>
      <w:r w:rsidR="000B2D37">
        <w:rPr>
          <w:rFonts w:cs="Arial"/>
        </w:rPr>
        <w:t xml:space="preserve">letter on company </w:t>
      </w:r>
      <w:r w:rsidR="00507068">
        <w:rPr>
          <w:rFonts w:cs="Arial"/>
        </w:rPr>
        <w:t xml:space="preserve">or agency </w:t>
      </w:r>
      <w:r w:rsidR="000B2D37">
        <w:rPr>
          <w:rFonts w:cs="Arial"/>
        </w:rPr>
        <w:t xml:space="preserve">letterhead </w:t>
      </w:r>
      <w:r w:rsidR="007D7297">
        <w:rPr>
          <w:rFonts w:cs="Arial"/>
        </w:rPr>
        <w:t xml:space="preserve">attesting to the recipient’s employment, or any other documentation that the local postmaster deems to be </w:t>
      </w:r>
      <w:r w:rsidR="00AD3EF9">
        <w:rPr>
          <w:rFonts w:cs="Arial"/>
        </w:rPr>
        <w:t>of comparable reliability</w:t>
      </w:r>
      <w:r w:rsidR="00AD3EF9" w:rsidRPr="001D0FAB">
        <w:rPr>
          <w:rFonts w:cs="Arial"/>
        </w:rPr>
        <w:t>.</w:t>
      </w:r>
      <w:r w:rsidR="001609D9" w:rsidRPr="005357E7">
        <w:rPr>
          <w:rFonts w:cs="Arial"/>
        </w:rPr>
        <w:t xml:space="preserve"> </w:t>
      </w:r>
      <w:r w:rsidR="001609D9" w:rsidRPr="000D12D0">
        <w:rPr>
          <w:rFonts w:cs="Arial"/>
        </w:rPr>
        <w:t xml:space="preserve">In addition, where delivery is made </w:t>
      </w:r>
      <w:r w:rsidR="00493CC5" w:rsidRPr="000D12D0">
        <w:rPr>
          <w:rFonts w:cs="Arial"/>
        </w:rPr>
        <w:t>to a business address</w:t>
      </w:r>
      <w:r w:rsidR="00D51516" w:rsidRPr="000D12D0">
        <w:rPr>
          <w:rFonts w:cs="Arial"/>
        </w:rPr>
        <w:t xml:space="preserve">, the carrier will be permitted to infer employment status from such factors as the </w:t>
      </w:r>
      <w:r w:rsidR="007B6890" w:rsidRPr="000D12D0">
        <w:rPr>
          <w:rFonts w:cs="Arial"/>
        </w:rPr>
        <w:t>recipient</w:t>
      </w:r>
      <w:r w:rsidR="00D51516" w:rsidRPr="000D12D0">
        <w:rPr>
          <w:rFonts w:cs="Arial"/>
        </w:rPr>
        <w:t>’s uniform and presence at a reception desk</w:t>
      </w:r>
      <w:r w:rsidR="00333AD5" w:rsidRPr="000D12D0">
        <w:rPr>
          <w:rFonts w:cs="Arial"/>
        </w:rPr>
        <w:t xml:space="preserve"> or </w:t>
      </w:r>
      <w:r w:rsidR="001D0FAB" w:rsidRPr="000D12D0">
        <w:rPr>
          <w:rFonts w:cs="Arial"/>
        </w:rPr>
        <w:t xml:space="preserve">retail </w:t>
      </w:r>
      <w:r w:rsidR="00333AD5" w:rsidRPr="000D12D0">
        <w:rPr>
          <w:rFonts w:cs="Arial"/>
        </w:rPr>
        <w:t>counter.</w:t>
      </w:r>
    </w:p>
    <w:p w14:paraId="39976196" w14:textId="403DCF4D" w:rsidR="00AD3EF9" w:rsidRDefault="005631F2" w:rsidP="004A5D99">
      <w:pPr>
        <w:shd w:val="clear" w:color="auto" w:fill="FFFFFF"/>
        <w:ind w:firstLine="720"/>
        <w:rPr>
          <w:rFonts w:cs="Arial"/>
        </w:rPr>
      </w:pPr>
      <w:r>
        <w:rPr>
          <w:rFonts w:cs="Arial"/>
        </w:rPr>
        <w:t xml:space="preserve">Finally, </w:t>
      </w:r>
      <w:proofErr w:type="gramStart"/>
      <w:r>
        <w:rPr>
          <w:rFonts w:cs="Arial"/>
        </w:rPr>
        <w:t>State</w:t>
      </w:r>
      <w:proofErr w:type="gramEnd"/>
      <w:r>
        <w:rPr>
          <w:rFonts w:cs="Arial"/>
        </w:rPr>
        <w:t xml:space="preserve"> </w:t>
      </w:r>
      <w:r w:rsidR="00C864C3">
        <w:rPr>
          <w:rFonts w:cs="Arial"/>
        </w:rPr>
        <w:t xml:space="preserve">and local </w:t>
      </w:r>
      <w:r>
        <w:rPr>
          <w:rFonts w:cs="Arial"/>
        </w:rPr>
        <w:t xml:space="preserve">attorneys general asked that the Postal Service bar delivery of shipments under the Business/Regulatory Purposes exception to Post Office Box or private mailbox addresses. The Postal Service declines to do so, for the reasons discussed in </w:t>
      </w:r>
      <w:r w:rsidRPr="00240440">
        <w:rPr>
          <w:rFonts w:cs="Arial"/>
        </w:rPr>
        <w:t xml:space="preserve">section </w:t>
      </w:r>
      <w:r w:rsidRPr="0022072C">
        <w:rPr>
          <w:rFonts w:cs="Arial"/>
        </w:rPr>
        <w:t>III.G.2</w:t>
      </w:r>
      <w:r w:rsidR="00DE2DAA">
        <w:rPr>
          <w:rFonts w:cs="Arial"/>
        </w:rPr>
        <w:t>.</w:t>
      </w:r>
    </w:p>
    <w:p w14:paraId="235C752A" w14:textId="50ACBDB9" w:rsidR="00016516" w:rsidRPr="006F5D98" w:rsidRDefault="008708FA" w:rsidP="00FE6779">
      <w:pPr>
        <w:ind w:firstLine="720"/>
        <w:rPr>
          <w:bCs/>
        </w:rPr>
      </w:pPr>
      <w:r w:rsidRPr="00FE6779">
        <w:rPr>
          <w:b/>
          <w:bCs/>
        </w:rPr>
        <w:t>H.</w:t>
      </w:r>
      <w:r w:rsidRPr="00FE6779">
        <w:rPr>
          <w:b/>
          <w:bCs/>
        </w:rPr>
        <w:tab/>
      </w:r>
      <w:bookmarkStart w:id="39" w:name="_Toc79569824"/>
      <w:r w:rsidR="00016516" w:rsidRPr="00FE6779">
        <w:rPr>
          <w:b/>
          <w:bCs/>
        </w:rPr>
        <w:t>Certain Individuals Exception</w:t>
      </w:r>
      <w:bookmarkEnd w:id="39"/>
    </w:p>
    <w:p w14:paraId="1F3F8FD5" w14:textId="3C81E0C1" w:rsidR="00E20109" w:rsidRDefault="009C7211" w:rsidP="009C7211">
      <w:pPr>
        <w:ind w:firstLine="720"/>
      </w:pPr>
      <w:r>
        <w:t>As extended to ENDS, this exception allows individual adults to mail a limited number of lightweight packages containing ENDS products for noncommercial purposes.</w:t>
      </w:r>
      <w:r w:rsidR="005023FB">
        <w:t xml:space="preserve"> 18 U.S.C. 1716E(b)(4)</w:t>
      </w:r>
      <w:r w:rsidR="003B14A9">
        <w:t>(A)</w:t>
      </w:r>
      <w:r w:rsidR="005023FB">
        <w:t>.</w:t>
      </w:r>
      <w:r>
        <w:t xml:space="preserve"> Some pro-ENDS commenters requested clarification on whether the return of damaged ENDS products to the manufacturer is covered by this exception. By way of clarification, the statute requiring this exception expressly includes the return by an individual </w:t>
      </w:r>
      <w:r>
        <w:lastRenderedPageBreak/>
        <w:t xml:space="preserve">of damaged or unacceptable goods to the manufacturer. </w:t>
      </w:r>
      <w:r w:rsidR="003B14A9" w:rsidRPr="003B14A9">
        <w:rPr>
          <w:i/>
          <w:iCs/>
        </w:rPr>
        <w:t>Id</w:t>
      </w:r>
      <w:r w:rsidRPr="003B14A9">
        <w:rPr>
          <w:i/>
          <w:iCs/>
        </w:rPr>
        <w:t>.</w:t>
      </w:r>
      <w:r>
        <w:t xml:space="preserve"> This language is mirrored in </w:t>
      </w:r>
      <w:r w:rsidRPr="00815A36">
        <w:t>Publication 52</w:t>
      </w:r>
      <w:r w:rsidRPr="00D02ECA">
        <w:t xml:space="preserve"> </w:t>
      </w:r>
      <w:r>
        <w:t>section 472.23, which the final rule extends to ENDS.</w:t>
      </w:r>
    </w:p>
    <w:p w14:paraId="44BB1EA2" w14:textId="277C41DA" w:rsidR="009C7211" w:rsidRPr="008A3817" w:rsidRDefault="00BA415E" w:rsidP="009C7211">
      <w:pPr>
        <w:ind w:firstLine="720"/>
      </w:pPr>
      <w:r>
        <w:t xml:space="preserve">For additional clarity, the final rule adds language </w:t>
      </w:r>
      <w:r w:rsidR="003C2C30">
        <w:t>making explicit the permissibility of returning damaged or unacceptable products under this exception</w:t>
      </w:r>
      <w:r w:rsidR="005726A4">
        <w:t>. The new language also clarifies the application of the</w:t>
      </w:r>
      <w:r w:rsidR="000149A1">
        <w:t xml:space="preserve"> exception’s</w:t>
      </w:r>
      <w:r w:rsidR="005726A4">
        <w:t xml:space="preserve"> noncommercial</w:t>
      </w:r>
      <w:r w:rsidR="008A2D65">
        <w:t>-</w:t>
      </w:r>
      <w:r w:rsidR="005726A4">
        <w:t>purpose</w:t>
      </w:r>
      <w:r w:rsidR="008A2D65">
        <w:t xml:space="preserve"> </w:t>
      </w:r>
      <w:r w:rsidR="005726A4">
        <w:t>condition to returns of damaged or unacceptable product</w:t>
      </w:r>
      <w:r w:rsidR="00BC0B62">
        <w:t xml:space="preserve">s, </w:t>
      </w:r>
      <w:r w:rsidR="000149A1">
        <w:t>in</w:t>
      </w:r>
      <w:r w:rsidR="00BC0B62">
        <w:t xml:space="preserve"> that </w:t>
      </w:r>
      <w:r w:rsidR="006004AA">
        <w:t xml:space="preserve">a </w:t>
      </w:r>
      <w:r w:rsidR="00170657">
        <w:t>product return remains noncommercial so long as any value offered to the send</w:t>
      </w:r>
      <w:r w:rsidR="002C1332">
        <w:t>er</w:t>
      </w:r>
      <w:r w:rsidR="00170657">
        <w:t xml:space="preserve"> </w:t>
      </w:r>
      <w:r w:rsidR="000E1761">
        <w:t xml:space="preserve">is limited to </w:t>
      </w:r>
      <w:r w:rsidR="00E20109">
        <w:t xml:space="preserve">the consumer’s </w:t>
      </w:r>
      <w:r w:rsidR="006004AA">
        <w:t xml:space="preserve">original </w:t>
      </w:r>
      <w:r w:rsidR="00E20109">
        <w:t>outlays for the returned product</w:t>
      </w:r>
      <w:r w:rsidR="00E803C7">
        <w:t xml:space="preserve"> and the cost of its return</w:t>
      </w:r>
      <w:r w:rsidR="008C6FDA">
        <w:t>.</w:t>
      </w:r>
      <w:r w:rsidR="000E1761">
        <w:t xml:space="preserve"> </w:t>
      </w:r>
      <w:r w:rsidR="008C6FDA">
        <w:t>A</w:t>
      </w:r>
      <w:r w:rsidR="000E1761">
        <w:t xml:space="preserve">ny </w:t>
      </w:r>
      <w:r w:rsidR="00F41432">
        <w:t>additional exchange of value would not merely restore the consumer to their status quo ante</w:t>
      </w:r>
      <w:r w:rsidR="004156AB">
        <w:t>; it would</w:t>
      </w:r>
      <w:r w:rsidR="00F41432">
        <w:t xml:space="preserve"> </w:t>
      </w:r>
      <w:r w:rsidR="002C78C1">
        <w:t xml:space="preserve">be tantamount to </w:t>
      </w:r>
      <w:r w:rsidR="00F41432">
        <w:t xml:space="preserve">a </w:t>
      </w:r>
      <w:r w:rsidR="002C78C1">
        <w:t>higher-priced sale</w:t>
      </w:r>
      <w:r w:rsidR="00932B99">
        <w:t xml:space="preserve"> and thus </w:t>
      </w:r>
      <w:r w:rsidR="00C27277">
        <w:t>no longer a noncommercial transfer</w:t>
      </w:r>
      <w:r w:rsidR="00E20109">
        <w:t>.</w:t>
      </w:r>
    </w:p>
    <w:p w14:paraId="5993027E" w14:textId="64F701F7" w:rsidR="009C7211" w:rsidRDefault="009C7211" w:rsidP="009C7211">
      <w:pPr>
        <w:shd w:val="clear" w:color="auto" w:fill="FFFFFF"/>
        <w:ind w:firstLine="720"/>
        <w:rPr>
          <w:rFonts w:cs="Arial"/>
        </w:rPr>
      </w:pPr>
      <w:r>
        <w:rPr>
          <w:rFonts w:cs="Arial"/>
        </w:rPr>
        <w:t xml:space="preserve">Noting </w:t>
      </w:r>
      <w:r w:rsidR="008C6FDA">
        <w:rPr>
          <w:rFonts w:cs="Arial"/>
        </w:rPr>
        <w:t>the noncommercial</w:t>
      </w:r>
      <w:r w:rsidR="00C27277">
        <w:rPr>
          <w:rFonts w:cs="Arial"/>
        </w:rPr>
        <w:t>-purpose</w:t>
      </w:r>
      <w:r w:rsidR="008C6FDA">
        <w:rPr>
          <w:rFonts w:cs="Arial"/>
        </w:rPr>
        <w:t xml:space="preserve"> requirement</w:t>
      </w:r>
      <w:r>
        <w:rPr>
          <w:rFonts w:cs="Arial"/>
        </w:rPr>
        <w:t xml:space="preserve">, </w:t>
      </w:r>
      <w:r>
        <w:t xml:space="preserve">some ENDS industry commenters sought clarification regarding whether used disposable </w:t>
      </w:r>
      <w:r w:rsidR="00E803C7">
        <w:t>ENDS products</w:t>
      </w:r>
      <w:r>
        <w:t>, which they claim have no commercial value and are similar to damaged products, would be included as “damaged or unacceptable” goods under this exception if returned to manufacturers or other businesses for recycling.</w:t>
      </w:r>
    </w:p>
    <w:p w14:paraId="77D38D36" w14:textId="21953A38" w:rsidR="009C7211" w:rsidRDefault="009C7211" w:rsidP="009C7211">
      <w:pPr>
        <w:ind w:firstLine="720"/>
      </w:pPr>
      <w:r>
        <w:t>The Certain Individuals exception allows shipments by individuals</w:t>
      </w:r>
      <w:r w:rsidR="003204A8">
        <w:t xml:space="preserve"> </w:t>
      </w:r>
      <w:r>
        <w:t xml:space="preserve">regardless of the </w:t>
      </w:r>
      <w:r w:rsidR="003204A8">
        <w:t xml:space="preserve">type of </w:t>
      </w:r>
      <w:r>
        <w:t xml:space="preserve">recipient or </w:t>
      </w:r>
      <w:r w:rsidR="003204A8">
        <w:t xml:space="preserve">the </w:t>
      </w:r>
      <w:r>
        <w:t xml:space="preserve">specific reason for mailing (subject to various limitations, including the </w:t>
      </w:r>
      <w:r w:rsidR="008A2D65">
        <w:t>noncommercial-</w:t>
      </w:r>
      <w:r>
        <w:t>purpose</w:t>
      </w:r>
      <w:r w:rsidR="00575AAB">
        <w:t xml:space="preserve"> condition</w:t>
      </w:r>
      <w:r>
        <w:t>). Although the statute expressly lists the return of damaged or unacceptable product</w:t>
      </w:r>
      <w:r w:rsidR="00575AAB">
        <w:t xml:space="preserve">s </w:t>
      </w:r>
      <w:r>
        <w:t>as an example, the use of “including” before this statutory phrase makes clear that it is merely illustrative, not exhaustive.</w:t>
      </w:r>
    </w:p>
    <w:p w14:paraId="09DD50F9" w14:textId="63EB2480" w:rsidR="009C7211" w:rsidRDefault="004C6249" w:rsidP="009C7211">
      <w:pPr>
        <w:ind w:firstLine="720"/>
      </w:pPr>
      <w:r>
        <w:lastRenderedPageBreak/>
        <w:t>As noted earlier in this section</w:t>
      </w:r>
      <w:r w:rsidR="009C7211">
        <w:t>,</w:t>
      </w:r>
      <w:r>
        <w:t xml:space="preserve"> the Certain Individuals</w:t>
      </w:r>
      <w:r w:rsidR="001A582B">
        <w:t xml:space="preserve"> exception</w:t>
      </w:r>
      <w:r>
        <w:t xml:space="preserve"> does contain</w:t>
      </w:r>
      <w:r w:rsidR="009C7211">
        <w:t xml:space="preserve"> a requirement that the mailing be “for noncommercial purposes.” </w:t>
      </w:r>
      <w:r w:rsidR="009C7211">
        <w:rPr>
          <w:i/>
          <w:iCs/>
        </w:rPr>
        <w:t>Id.</w:t>
      </w:r>
      <w:r w:rsidR="009C7211">
        <w:t xml:space="preserve"> </w:t>
      </w:r>
      <w:r w:rsidR="00CB3E4F">
        <w:t>As the commenters maintain, the depleted merchandise</w:t>
      </w:r>
      <w:r w:rsidR="002D0CE9">
        <w:t xml:space="preserve"> is effectively scrap with</w:t>
      </w:r>
      <w:r w:rsidR="00CB3E4F">
        <w:t xml:space="preserve"> no </w:t>
      </w:r>
      <w:r w:rsidR="002D0CE9">
        <w:t xml:space="preserve">intrinsic </w:t>
      </w:r>
      <w:r w:rsidR="00CB3E4F">
        <w:t>commercial value</w:t>
      </w:r>
      <w:r w:rsidR="002D0CE9">
        <w:t xml:space="preserve"> to the consumer</w:t>
      </w:r>
      <w:r w:rsidR="00CB3E4F">
        <w:t xml:space="preserve">. </w:t>
      </w:r>
      <w:r w:rsidR="009C7211">
        <w:t xml:space="preserve">Thus, this exception </w:t>
      </w:r>
      <w:r w:rsidR="001D4691">
        <w:t xml:space="preserve">permits the </w:t>
      </w:r>
      <w:r w:rsidR="009C7211">
        <w:t xml:space="preserve">mailing </w:t>
      </w:r>
      <w:r w:rsidR="001D4691">
        <w:t xml:space="preserve">of used </w:t>
      </w:r>
      <w:r w:rsidR="009C7211">
        <w:t xml:space="preserve">ENDS products for recycling purposes </w:t>
      </w:r>
      <w:r w:rsidR="001D4691">
        <w:t xml:space="preserve">only </w:t>
      </w:r>
      <w:r w:rsidR="009C7211">
        <w:t xml:space="preserve">so long as no </w:t>
      </w:r>
      <w:r w:rsidR="0017184D">
        <w:t>ne</w:t>
      </w:r>
      <w:r w:rsidR="00CD219D">
        <w:t>t</w:t>
      </w:r>
      <w:r w:rsidR="0017184D">
        <w:t xml:space="preserve"> </w:t>
      </w:r>
      <w:r w:rsidR="009C7211">
        <w:t>commercial value, such as a rebate, credit, or discount on future purchases</w:t>
      </w:r>
      <w:r w:rsidR="00980D8C">
        <w:t xml:space="preserve">, </w:t>
      </w:r>
      <w:r w:rsidR="003F18F4">
        <w:t xml:space="preserve">is </w:t>
      </w:r>
      <w:r w:rsidR="00980D8C">
        <w:t xml:space="preserve">offered </w:t>
      </w:r>
      <w:r w:rsidR="003F18F4">
        <w:t xml:space="preserve">to the mailer </w:t>
      </w:r>
      <w:r w:rsidR="00980D8C">
        <w:t xml:space="preserve">in exchange for </w:t>
      </w:r>
      <w:r w:rsidR="00C24DDA">
        <w:t xml:space="preserve">the </w:t>
      </w:r>
      <w:r w:rsidR="00DB21C3">
        <w:t xml:space="preserve">used or </w:t>
      </w:r>
      <w:r w:rsidR="003F18F4">
        <w:t xml:space="preserve">depleted </w:t>
      </w:r>
      <w:r w:rsidR="001F12FE">
        <w:t>merchandise</w:t>
      </w:r>
      <w:r w:rsidR="009C7211">
        <w:t>.</w:t>
      </w:r>
      <w:r w:rsidR="00277623">
        <w:t xml:space="preserve"> </w:t>
      </w:r>
      <w:r w:rsidR="009C7211">
        <w:t xml:space="preserve">This clarification is reflected in </w:t>
      </w:r>
      <w:r w:rsidR="00764734">
        <w:t xml:space="preserve">new language expressly discussing the </w:t>
      </w:r>
      <w:r w:rsidR="001A582B">
        <w:t>possibility of recycling-oriented shipments under this exception</w:t>
      </w:r>
      <w:r w:rsidR="009C7211">
        <w:t>.</w:t>
      </w:r>
      <w:r w:rsidR="00972F8C">
        <w:t xml:space="preserve"> It is possible that some arrangements involving the recycling of used merchandise might not constitute a commercial exchange and therefore might be permissible under the Certain Individuals exception, such as where </w:t>
      </w:r>
      <w:r w:rsidR="00DB21C3">
        <w:t xml:space="preserve">the merchandise </w:t>
      </w:r>
      <w:r w:rsidR="00972F8C">
        <w:t>is merely loaned to an individual user subject to a deposit payment that is refundable upon return of the material.</w:t>
      </w:r>
      <w:r w:rsidR="00C24DDA">
        <w:t xml:space="preserve"> </w:t>
      </w:r>
      <w:r w:rsidR="000713E9">
        <w:t xml:space="preserve">Persons seeking guidance about whether a particular program would constitute a legitimate use of the Certain Individuals exception are encouraged to </w:t>
      </w:r>
      <w:r w:rsidR="00B647CB">
        <w:t xml:space="preserve">seek a mailability ruling pursuant to Publication 52 </w:t>
      </w:r>
      <w:r w:rsidR="001D52CC">
        <w:t xml:space="preserve">part </w:t>
      </w:r>
      <w:r w:rsidR="00B647CB">
        <w:t>215.</w:t>
      </w:r>
    </w:p>
    <w:p w14:paraId="0A7819C8" w14:textId="3193B38D" w:rsidR="009C7211" w:rsidRDefault="009C7211" w:rsidP="009C7211">
      <w:pPr>
        <w:ind w:firstLine="720"/>
      </w:pPr>
      <w:r w:rsidRPr="679F8B33">
        <w:rPr>
          <w:rFonts w:eastAsia="Arial" w:cs="Arial"/>
          <w:color w:val="000000" w:themeColor="text1"/>
        </w:rPr>
        <w:t xml:space="preserve">One commenter reasoned that, because the return of damaged or unacceptable goods to the manufacturer is expressly allowed under this exception, the manufacturer should be allowed to use the exception to mail warranty replacement goods to adult consumers. </w:t>
      </w:r>
      <w:r>
        <w:rPr>
          <w:rFonts w:eastAsia="Arial" w:cs="Arial"/>
          <w:color w:val="000000" w:themeColor="text1"/>
        </w:rPr>
        <w:t>However, t</w:t>
      </w:r>
      <w:r>
        <w:t xml:space="preserve">he Certain Individuals exception </w:t>
      </w:r>
      <w:r w:rsidRPr="009A6715">
        <w:t xml:space="preserve">provides only for adult “individuals” to mail ENDS for “noncommercial purposes.” </w:t>
      </w:r>
      <w:r w:rsidRPr="009A6715">
        <w:rPr>
          <w:i/>
          <w:iCs/>
        </w:rPr>
        <w:t>Id.</w:t>
      </w:r>
      <w:r>
        <w:t xml:space="preserve"> </w:t>
      </w:r>
      <w:r w:rsidR="00A011EE">
        <w:t>T</w:t>
      </w:r>
      <w:r>
        <w:t xml:space="preserve">he </w:t>
      </w:r>
      <w:r w:rsidR="00A011EE">
        <w:t xml:space="preserve">exception thus </w:t>
      </w:r>
      <w:r>
        <w:t xml:space="preserve">does not </w:t>
      </w:r>
      <w:r w:rsidR="00A011EE">
        <w:t xml:space="preserve">authorize </w:t>
      </w:r>
      <w:r>
        <w:t xml:space="preserve">shipments by businesses </w:t>
      </w:r>
      <w:r w:rsidR="0077688D">
        <w:t>(or other organization</w:t>
      </w:r>
      <w:r w:rsidR="000A16A2">
        <w:t>al entities</w:t>
      </w:r>
      <w:r w:rsidR="0077688D">
        <w:t xml:space="preserve">) </w:t>
      </w:r>
      <w:r>
        <w:t>for any purpose</w:t>
      </w:r>
      <w:r w:rsidR="00A011EE">
        <w:t xml:space="preserve">, not even </w:t>
      </w:r>
      <w:r w:rsidR="00127123">
        <w:t xml:space="preserve">to </w:t>
      </w:r>
      <w:r w:rsidR="0077688D">
        <w:t xml:space="preserve">fulfill </w:t>
      </w:r>
      <w:r w:rsidR="0077688D">
        <w:lastRenderedPageBreak/>
        <w:t>a repair or replacement triggered by a consumer’s use of the exception</w:t>
      </w:r>
      <w:r>
        <w:t xml:space="preserve">. </w:t>
      </w:r>
      <w:r w:rsidR="000A16A2">
        <w:t xml:space="preserve">Nor does any </w:t>
      </w:r>
      <w:r>
        <w:t xml:space="preserve">other PACT Act exception permit business-to-individual mailings for </w:t>
      </w:r>
      <w:r w:rsidR="006A1A42">
        <w:t>such purposes</w:t>
      </w:r>
      <w:r>
        <w:t>.</w:t>
      </w:r>
    </w:p>
    <w:p w14:paraId="1C4E6DBE" w14:textId="3D9AE385" w:rsidR="00DC61DF" w:rsidRPr="0056141A" w:rsidRDefault="00DC61DF" w:rsidP="00DC61DF">
      <w:pPr>
        <w:ind w:firstLine="720"/>
        <w:rPr>
          <w:rFonts w:eastAsia="Arial" w:cs="Arial"/>
          <w:color w:val="000000" w:themeColor="text1"/>
        </w:rPr>
      </w:pPr>
      <w:r>
        <w:rPr>
          <w:rFonts w:eastAsia="Arial" w:cs="Arial"/>
          <w:color w:val="000000" w:themeColor="text1"/>
        </w:rPr>
        <w:t xml:space="preserve">A Federal agency partner inquired whether the availability of the Certain Individuals exception for products exchanged as gifts could be construed as allowing </w:t>
      </w:r>
      <w:r w:rsidR="002E2E5B">
        <w:rPr>
          <w:rFonts w:eastAsia="Arial" w:cs="Arial"/>
          <w:color w:val="000000" w:themeColor="text1"/>
        </w:rPr>
        <w:t xml:space="preserve">businesses to distribute free samples, notwithstanding </w:t>
      </w:r>
      <w:r w:rsidR="00053FA4">
        <w:rPr>
          <w:rFonts w:eastAsia="Arial" w:cs="Arial"/>
          <w:color w:val="000000" w:themeColor="text1"/>
        </w:rPr>
        <w:t xml:space="preserve">the FDA’s general ban on free samples of tobacco products. See </w:t>
      </w:r>
      <w:r w:rsidR="00617724">
        <w:rPr>
          <w:rFonts w:eastAsia="Arial" w:cs="Arial"/>
          <w:color w:val="000000" w:themeColor="text1"/>
        </w:rPr>
        <w:t xml:space="preserve">21 CFR 1140.16(d). </w:t>
      </w:r>
      <w:r w:rsidR="005220E8">
        <w:rPr>
          <w:rFonts w:eastAsia="Arial" w:cs="Arial"/>
          <w:color w:val="000000" w:themeColor="text1"/>
        </w:rPr>
        <w:t xml:space="preserve">The Postal Service emphasizes that </w:t>
      </w:r>
      <w:r w:rsidR="007B47AA">
        <w:rPr>
          <w:rFonts w:eastAsia="Arial" w:cs="Arial"/>
          <w:color w:val="000000" w:themeColor="text1"/>
        </w:rPr>
        <w:t xml:space="preserve">its mailability regulations, including those administering the PACT Act, </w:t>
      </w:r>
      <w:r w:rsidR="000545A9">
        <w:rPr>
          <w:rFonts w:eastAsia="Arial" w:cs="Arial"/>
          <w:color w:val="000000" w:themeColor="text1"/>
        </w:rPr>
        <w:t>do not supersede any other applicable regulation</w:t>
      </w:r>
      <w:r w:rsidR="007B47AA">
        <w:rPr>
          <w:rFonts w:eastAsia="Arial" w:cs="Arial"/>
          <w:color w:val="000000" w:themeColor="text1"/>
        </w:rPr>
        <w:t xml:space="preserve"> that might restrict or prohibit a given transfer, distribution, or other activity effected through the mails</w:t>
      </w:r>
      <w:r w:rsidR="000545A9">
        <w:rPr>
          <w:rFonts w:eastAsia="Arial" w:cs="Arial"/>
          <w:color w:val="000000" w:themeColor="text1"/>
        </w:rPr>
        <w:t>.</w:t>
      </w:r>
      <w:r w:rsidR="001C6415">
        <w:rPr>
          <w:rFonts w:eastAsia="Arial" w:cs="Arial"/>
          <w:color w:val="000000" w:themeColor="text1"/>
        </w:rPr>
        <w:t xml:space="preserve"> </w:t>
      </w:r>
      <w:r w:rsidR="00412DBC">
        <w:rPr>
          <w:rFonts w:eastAsia="Arial" w:cs="Arial"/>
          <w:color w:val="000000" w:themeColor="text1"/>
        </w:rPr>
        <w:t xml:space="preserve">See Publication 52 </w:t>
      </w:r>
      <w:r w:rsidR="00240440">
        <w:rPr>
          <w:rFonts w:eastAsia="Arial" w:cs="Arial"/>
          <w:color w:val="000000" w:themeColor="text1"/>
        </w:rPr>
        <w:t xml:space="preserve">part </w:t>
      </w:r>
      <w:r w:rsidR="00412DBC">
        <w:rPr>
          <w:rFonts w:eastAsia="Arial" w:cs="Arial"/>
          <w:color w:val="000000" w:themeColor="text1"/>
        </w:rPr>
        <w:t>412 (“</w:t>
      </w:r>
      <w:bookmarkStart w:id="40" w:name="ep290043"/>
      <w:r w:rsidR="002F3477">
        <w:t>The mailer is responsible for ensuring that all Postal Service requirements, as well as all federal and state laws and local ordinances that apply to the shipment of an article of restricted matter, have been met</w:t>
      </w:r>
      <w:bookmarkEnd w:id="40"/>
      <w:r w:rsidR="002F3477">
        <w:t>.</w:t>
      </w:r>
      <w:r w:rsidR="00412DBC">
        <w:rPr>
          <w:rFonts w:eastAsia="Arial" w:cs="Arial"/>
          <w:color w:val="000000" w:themeColor="text1"/>
        </w:rPr>
        <w:t>”).</w:t>
      </w:r>
      <w:r w:rsidR="002F3477">
        <w:rPr>
          <w:rFonts w:eastAsia="Arial" w:cs="Arial"/>
          <w:color w:val="000000" w:themeColor="text1"/>
        </w:rPr>
        <w:t xml:space="preserve"> That said, </w:t>
      </w:r>
      <w:r w:rsidR="0056141A">
        <w:rPr>
          <w:rFonts w:eastAsia="Arial" w:cs="Arial"/>
          <w:color w:val="000000" w:themeColor="text1"/>
        </w:rPr>
        <w:t xml:space="preserve">as the name indicates, the Certain Individuals exception is not available for </w:t>
      </w:r>
      <w:proofErr w:type="gramStart"/>
      <w:r w:rsidR="0056141A">
        <w:rPr>
          <w:rFonts w:eastAsia="Arial" w:cs="Arial"/>
          <w:color w:val="000000" w:themeColor="text1"/>
        </w:rPr>
        <w:t xml:space="preserve">any </w:t>
      </w:r>
      <w:r w:rsidR="007838A8">
        <w:rPr>
          <w:rFonts w:eastAsia="Arial" w:cs="Arial"/>
          <w:color w:val="000000" w:themeColor="text1"/>
        </w:rPr>
        <w:t>and all</w:t>
      </w:r>
      <w:proofErr w:type="gramEnd"/>
      <w:r w:rsidR="007838A8">
        <w:rPr>
          <w:rFonts w:eastAsia="Arial" w:cs="Arial"/>
          <w:color w:val="000000" w:themeColor="text1"/>
        </w:rPr>
        <w:t xml:space="preserve"> </w:t>
      </w:r>
      <w:r w:rsidR="0056141A">
        <w:rPr>
          <w:rFonts w:eastAsia="Arial" w:cs="Arial"/>
          <w:color w:val="000000" w:themeColor="text1"/>
        </w:rPr>
        <w:t xml:space="preserve">noncommercial shipment of </w:t>
      </w:r>
      <w:r w:rsidR="003978DE">
        <w:rPr>
          <w:rFonts w:eastAsia="Arial" w:cs="Arial"/>
          <w:color w:val="000000" w:themeColor="text1"/>
        </w:rPr>
        <w:t>PACT Act–</w:t>
      </w:r>
      <w:r w:rsidR="0056141A">
        <w:rPr>
          <w:rFonts w:eastAsia="Arial" w:cs="Arial"/>
          <w:color w:val="000000" w:themeColor="text1"/>
        </w:rPr>
        <w:t xml:space="preserve">covered products, but </w:t>
      </w:r>
      <w:r w:rsidR="009B3604">
        <w:rPr>
          <w:rFonts w:eastAsia="Arial" w:cs="Arial"/>
          <w:color w:val="000000" w:themeColor="text1"/>
        </w:rPr>
        <w:t xml:space="preserve">rather </w:t>
      </w:r>
      <w:r w:rsidR="0056141A">
        <w:rPr>
          <w:rFonts w:eastAsia="Arial" w:cs="Arial"/>
          <w:color w:val="000000" w:themeColor="text1"/>
        </w:rPr>
        <w:t xml:space="preserve">only for such shipments </w:t>
      </w:r>
      <w:r w:rsidR="0056141A" w:rsidRPr="00B43204">
        <w:rPr>
          <w:rFonts w:eastAsia="Arial" w:cs="Arial"/>
          <w:color w:val="000000" w:themeColor="text1"/>
        </w:rPr>
        <w:t>by individuals</w:t>
      </w:r>
      <w:r w:rsidR="0056141A">
        <w:rPr>
          <w:rFonts w:eastAsia="Arial" w:cs="Arial"/>
          <w:color w:val="000000" w:themeColor="text1"/>
        </w:rPr>
        <w:t xml:space="preserve">. As such, </w:t>
      </w:r>
      <w:r w:rsidR="009B3604">
        <w:rPr>
          <w:rFonts w:eastAsia="Arial" w:cs="Arial"/>
          <w:color w:val="000000" w:themeColor="text1"/>
        </w:rPr>
        <w:t xml:space="preserve">while gifts from one individual to another may be within the exception’s scope, it </w:t>
      </w:r>
      <w:r w:rsidR="0056141A">
        <w:rPr>
          <w:rFonts w:eastAsia="Arial" w:cs="Arial"/>
          <w:color w:val="000000" w:themeColor="text1"/>
        </w:rPr>
        <w:t xml:space="preserve">does not permit businesses to distribute free samples to </w:t>
      </w:r>
      <w:r w:rsidR="004743A8">
        <w:rPr>
          <w:rFonts w:eastAsia="Arial" w:cs="Arial"/>
          <w:color w:val="000000" w:themeColor="text1"/>
        </w:rPr>
        <w:t>consumers</w:t>
      </w:r>
      <w:r w:rsidR="0056141A">
        <w:rPr>
          <w:rFonts w:eastAsia="Arial" w:cs="Arial"/>
          <w:color w:val="000000" w:themeColor="text1"/>
        </w:rPr>
        <w:t>.</w:t>
      </w:r>
      <w:r w:rsidR="004743A8">
        <w:rPr>
          <w:rFonts w:eastAsia="Arial" w:cs="Arial"/>
          <w:color w:val="000000" w:themeColor="text1"/>
        </w:rPr>
        <w:t xml:space="preserve"> Nor does any other exception permit promotional samples to consumers</w:t>
      </w:r>
      <w:r w:rsidR="00B43204">
        <w:rPr>
          <w:rFonts w:eastAsia="Arial" w:cs="Arial"/>
          <w:color w:val="000000" w:themeColor="text1"/>
        </w:rPr>
        <w:t>.</w:t>
      </w:r>
      <w:r w:rsidR="00B43204">
        <w:rPr>
          <w:rStyle w:val="FootnoteReference"/>
          <w:rFonts w:eastAsia="Arial" w:cs="Arial"/>
          <w:color w:val="000000" w:themeColor="text1"/>
        </w:rPr>
        <w:footnoteReference w:id="26"/>
      </w:r>
    </w:p>
    <w:p w14:paraId="59B85CEB" w14:textId="3E873F03" w:rsidR="00E90855" w:rsidRDefault="009C7211" w:rsidP="009C7211">
      <w:pPr>
        <w:ind w:firstLine="720"/>
      </w:pPr>
      <w:r>
        <w:lastRenderedPageBreak/>
        <w:t xml:space="preserve">Some anti-ENDS commenters suggested that this exception should be altogether abolished or disallowed, reasoning in one instance that the return of damaged or unacceptable ENDS products through the mail by individuals unlikely to be aware of hazmat requirements poses health risks to Postal Service employees. As discussed in </w:t>
      </w:r>
      <w:r w:rsidRPr="00240440">
        <w:t xml:space="preserve">section </w:t>
      </w:r>
      <w:r w:rsidRPr="0022072C">
        <w:t>III.A.2</w:t>
      </w:r>
      <w:r>
        <w:t xml:space="preserve">, </w:t>
      </w:r>
      <w:r w:rsidR="006A1A42">
        <w:t xml:space="preserve">absent a legal impediment to its application to ENDS, the Postal Service lacks a delegation of legislative authority </w:t>
      </w:r>
      <w:r w:rsidR="00E90855">
        <w:t>to disallow this or any other PACT Act exception on policy grounds.</w:t>
      </w:r>
    </w:p>
    <w:p w14:paraId="3C81BF69" w14:textId="63257505" w:rsidR="009C7211" w:rsidRPr="000E7BBE" w:rsidRDefault="00E90855" w:rsidP="00A506A1">
      <w:pPr>
        <w:ind w:firstLine="720"/>
      </w:pPr>
      <w:r>
        <w:t xml:space="preserve">Moreover, </w:t>
      </w:r>
      <w:r w:rsidR="009C7211">
        <w:t xml:space="preserve">hazardous-materials concerns are already addressed through </w:t>
      </w:r>
      <w:r w:rsidR="00A87398">
        <w:t xml:space="preserve">comprehensive </w:t>
      </w:r>
      <w:r w:rsidR="009C7211">
        <w:t>mailing requirements in Publication 52. Those requirements have applied to individual mailers of ENDS products since long before the POSECCA, and they will continue to apply to mailings under the Certain Individuals exception. The hazardous-materials rules will continue to function to protect the health and safety of all who handle the mail.</w:t>
      </w:r>
      <w:r w:rsidR="0051376B">
        <w:t xml:space="preserve"> </w:t>
      </w:r>
      <w:r w:rsidR="009C7211">
        <w:t xml:space="preserve">ENDS industry actors are strongly encouraged to promote awareness of all relevant mailing restrictions and requirements, including hazardous-materials rules, among ENDS </w:t>
      </w:r>
      <w:r w:rsidR="00F720C0">
        <w:t>consumers</w:t>
      </w:r>
      <w:r w:rsidR="009C7211">
        <w:t xml:space="preserve">. </w:t>
      </w:r>
      <w:r w:rsidR="009C7211" w:rsidRPr="00AF27CF">
        <w:t>See</w:t>
      </w:r>
      <w:r w:rsidR="009C7211">
        <w:t xml:space="preserve"> DMM </w:t>
      </w:r>
      <w:r w:rsidR="002721B4">
        <w:t xml:space="preserve">section </w:t>
      </w:r>
      <w:r w:rsidR="009C7211">
        <w:t>601.9.4.1 (advertising, promotional, and sales matter soliciting or inducing the mailing of nonmailable hazardous materials is itself nonmailable).</w:t>
      </w:r>
    </w:p>
    <w:p w14:paraId="5898E9FF" w14:textId="77777777" w:rsidR="009C7211" w:rsidRDefault="009C7211" w:rsidP="009C7211">
      <w:pPr>
        <w:shd w:val="clear" w:color="auto" w:fill="FFFFFF"/>
        <w:ind w:firstLine="720"/>
        <w:rPr>
          <w:rFonts w:cs="Arial"/>
        </w:rPr>
      </w:pPr>
      <w:r>
        <w:t xml:space="preserve">Some anti-ENDS commenters recommended that </w:t>
      </w:r>
      <w:r>
        <w:rPr>
          <w:rFonts w:cs="Arial"/>
        </w:rPr>
        <w:t xml:space="preserve">mailers using the exception be required to sign a sworn, written statement or provide other verification that the recipient is above the age of 21, as opposed to the oral affirmation required under the preexisting rules and the proposed rule. </w:t>
      </w:r>
      <w:r w:rsidRPr="00AF27CF">
        <w:rPr>
          <w:rFonts w:cs="Arial"/>
        </w:rPr>
        <w:t>See</w:t>
      </w:r>
      <w:r>
        <w:rPr>
          <w:rFonts w:cs="Arial"/>
        </w:rPr>
        <w:t xml:space="preserve"> Publication 52 section 472.231.d. These commenters purported that such a </w:t>
      </w:r>
      <w:r>
        <w:rPr>
          <w:rFonts w:cs="Arial"/>
        </w:rPr>
        <w:lastRenderedPageBreak/>
        <w:t>measure is necessary because underage recipients continue to access mailed products that are putatively nonmailable under the PACT Act.</w:t>
      </w:r>
    </w:p>
    <w:p w14:paraId="7D55C715" w14:textId="416CB0FA" w:rsidR="009C7211" w:rsidRDefault="009C7211" w:rsidP="009C7211">
      <w:pPr>
        <w:ind w:firstLine="720"/>
      </w:pPr>
      <w:r>
        <w:t>Such a requirement would be superfluous and unnecessarily burdensome. Age verification is already required at delivery. 18 U.S.C. 1716E(b)(4)(B)(ii)(V)</w:t>
      </w:r>
      <w:r w:rsidR="007D7648">
        <w:t>–</w:t>
      </w:r>
      <w:r>
        <w:t xml:space="preserve">(VI). By contrast, the mailer is required merely to “affirm that the recipient is not a minor.” </w:t>
      </w:r>
      <w:r>
        <w:rPr>
          <w:i/>
          <w:iCs/>
        </w:rPr>
        <w:t>Id.</w:t>
      </w:r>
      <w:r>
        <w:t xml:space="preserve"> at (b)(4)(B)(ii)(II). </w:t>
      </w:r>
      <w:r w:rsidRPr="00233493">
        <w:t xml:space="preserve">To the extent that any minors </w:t>
      </w:r>
      <w:r w:rsidR="00723785" w:rsidRPr="00233493">
        <w:t xml:space="preserve">allegedly </w:t>
      </w:r>
      <w:r w:rsidRPr="00233493">
        <w:t xml:space="preserve">continue to receive mailings of products made nonmailable under the PACT Act, the commenters have pointed to no evidence that this is due to </w:t>
      </w:r>
      <w:r w:rsidR="00B97290">
        <w:t xml:space="preserve">a deficiency in administration </w:t>
      </w:r>
      <w:r w:rsidRPr="00233493">
        <w:t>of the Certain Individuals exception</w:t>
      </w:r>
      <w:r>
        <w:t>.</w:t>
      </w:r>
      <w:r w:rsidR="00A16300">
        <w:rPr>
          <w:rStyle w:val="FootnoteReference"/>
        </w:rPr>
        <w:footnoteReference w:id="27"/>
      </w:r>
      <w:r>
        <w:t xml:space="preserve"> </w:t>
      </w:r>
      <w:r w:rsidR="003F319E">
        <w:t>Therefore</w:t>
      </w:r>
      <w:r>
        <w:t>, this recommended measure does not appear to address a demonstrable shortcoming in the Certain Individuals exception, let alone to do so in a way that would meaningfully improve compliance.</w:t>
      </w:r>
    </w:p>
    <w:p w14:paraId="5EC35C99" w14:textId="032C5326" w:rsidR="009C7211" w:rsidRDefault="009C7211" w:rsidP="009C7211">
      <w:pPr>
        <w:ind w:firstLine="720"/>
        <w:rPr>
          <w:rFonts w:eastAsia="Arial" w:cs="Arial"/>
          <w:color w:val="000000" w:themeColor="text1"/>
        </w:rPr>
      </w:pPr>
      <w:r>
        <w:lastRenderedPageBreak/>
        <w:t xml:space="preserve">A coalition of State and local attorneys general urged the Postal Service to impose a host of additional conditions on this exception by reference to their proposals under the Business/Regulatory Purposes </w:t>
      </w:r>
      <w:r w:rsidR="001C7324">
        <w:t>e</w:t>
      </w:r>
      <w:r>
        <w:t xml:space="preserve">xception. </w:t>
      </w:r>
      <w:r w:rsidR="003A7697">
        <w:t>Although it was not entirely clear from the comment</w:t>
      </w:r>
      <w:r>
        <w:t xml:space="preserve">, </w:t>
      </w:r>
      <w:r w:rsidR="003A7697">
        <w:t xml:space="preserve">the recommended additional conditions presumably </w:t>
      </w:r>
      <w:r>
        <w:t xml:space="preserve">include requiring product identification, certification of mailer and recipient eligibility, exclusion of delivery to Post Office Boxes and </w:t>
      </w:r>
      <w:r w:rsidR="00CB250B">
        <w:t>commercial mail receiving agencies</w:t>
      </w:r>
      <w:r>
        <w:t xml:space="preserve"> </w:t>
      </w:r>
      <w:r w:rsidR="00CB250B">
        <w:t>(“</w:t>
      </w:r>
      <w:r>
        <w:t>CMRAs</w:t>
      </w:r>
      <w:r w:rsidR="00CB250B">
        <w:t>”)</w:t>
      </w:r>
      <w:r>
        <w:t>, and signature upon delivery.  These commenters argued that delivery provisions set out in 15</w:t>
      </w:r>
      <w:r w:rsidR="009E1F40">
        <w:t> </w:t>
      </w:r>
      <w:r>
        <w:t>U.S.C.</w:t>
      </w:r>
      <w:r w:rsidRPr="679F8B33">
        <w:rPr>
          <w:rFonts w:eastAsia="Arial" w:cs="Arial"/>
          <w:color w:val="000000" w:themeColor="text1"/>
        </w:rPr>
        <w:t xml:space="preserve"> 376a(b)(4)(ii) should apply because </w:t>
      </w:r>
      <w:r w:rsidR="003F319E">
        <w:rPr>
          <w:rFonts w:eastAsia="Arial" w:cs="Arial"/>
          <w:color w:val="000000" w:themeColor="text1"/>
        </w:rPr>
        <w:t xml:space="preserve">they assert that </w:t>
      </w:r>
      <w:r>
        <w:rPr>
          <w:rFonts w:eastAsia="Arial" w:cs="Arial"/>
          <w:color w:val="000000" w:themeColor="text1"/>
        </w:rPr>
        <w:t>18 U.S.C. 1716E(b)(4)(B)</w:t>
      </w:r>
      <w:r w:rsidR="003F319E">
        <w:rPr>
          <w:rFonts w:eastAsia="Arial" w:cs="Arial"/>
          <w:color w:val="000000" w:themeColor="text1"/>
        </w:rPr>
        <w:t xml:space="preserve">, supposedly </w:t>
      </w:r>
      <w:r w:rsidR="003F319E" w:rsidRPr="679F8B33">
        <w:rPr>
          <w:rFonts w:eastAsia="Arial" w:cs="Arial"/>
          <w:color w:val="000000" w:themeColor="text1"/>
        </w:rPr>
        <w:t>lack</w:t>
      </w:r>
      <w:r w:rsidR="003F319E">
        <w:rPr>
          <w:rFonts w:eastAsia="Arial" w:cs="Arial"/>
          <w:color w:val="000000" w:themeColor="text1"/>
        </w:rPr>
        <w:t>ing</w:t>
      </w:r>
      <w:r w:rsidR="003F319E" w:rsidRPr="679F8B33">
        <w:rPr>
          <w:rFonts w:eastAsia="Arial" w:cs="Arial"/>
          <w:color w:val="000000" w:themeColor="text1"/>
        </w:rPr>
        <w:t xml:space="preserve"> </w:t>
      </w:r>
      <w:r w:rsidR="003F319E">
        <w:rPr>
          <w:rFonts w:eastAsia="Arial" w:cs="Arial"/>
          <w:color w:val="000000" w:themeColor="text1"/>
        </w:rPr>
        <w:t xml:space="preserve">comparably </w:t>
      </w:r>
      <w:r w:rsidR="003F319E" w:rsidRPr="679F8B33">
        <w:rPr>
          <w:rFonts w:eastAsia="Arial" w:cs="Arial"/>
          <w:color w:val="000000" w:themeColor="text1"/>
        </w:rPr>
        <w:t>stringent age verification protocols</w:t>
      </w:r>
      <w:r w:rsidR="003F319E">
        <w:rPr>
          <w:rFonts w:eastAsia="Arial" w:cs="Arial"/>
          <w:color w:val="000000" w:themeColor="text1"/>
        </w:rPr>
        <w:t>,</w:t>
      </w:r>
      <w:r>
        <w:rPr>
          <w:rFonts w:eastAsia="Arial" w:cs="Arial"/>
          <w:color w:val="000000" w:themeColor="text1"/>
        </w:rPr>
        <w:t xml:space="preserve"> </w:t>
      </w:r>
      <w:r w:rsidRPr="679F8B33">
        <w:rPr>
          <w:rFonts w:eastAsia="Arial" w:cs="Arial"/>
          <w:color w:val="000000" w:themeColor="text1"/>
        </w:rPr>
        <w:t xml:space="preserve">does not </w:t>
      </w:r>
      <w:r>
        <w:rPr>
          <w:rFonts w:eastAsia="Arial" w:cs="Arial"/>
          <w:color w:val="000000" w:themeColor="text1"/>
        </w:rPr>
        <w:t xml:space="preserve">go far enough to </w:t>
      </w:r>
      <w:r w:rsidRPr="679F8B33">
        <w:rPr>
          <w:rFonts w:eastAsia="Arial" w:cs="Arial"/>
          <w:color w:val="000000" w:themeColor="text1"/>
        </w:rPr>
        <w:t>prevent illegal deliveries.</w:t>
      </w:r>
    </w:p>
    <w:p w14:paraId="07C4500C" w14:textId="65893C5D" w:rsidR="009C7211" w:rsidRDefault="009C7211" w:rsidP="009C7211">
      <w:pPr>
        <w:ind w:firstLine="720"/>
        <w:rPr>
          <w:rFonts w:eastAsia="Arial" w:cs="Arial"/>
          <w:color w:val="000000" w:themeColor="text1"/>
        </w:rPr>
      </w:pPr>
      <w:r w:rsidRPr="679F8B33">
        <w:rPr>
          <w:rFonts w:eastAsia="Arial" w:cs="Arial"/>
          <w:color w:val="000000" w:themeColor="text1"/>
        </w:rPr>
        <w:t xml:space="preserve">As noted </w:t>
      </w:r>
      <w:r>
        <w:rPr>
          <w:rFonts w:eastAsia="Arial" w:cs="Arial"/>
          <w:color w:val="000000" w:themeColor="text1"/>
        </w:rPr>
        <w:t xml:space="preserve">in </w:t>
      </w:r>
      <w:r w:rsidRPr="004B171A">
        <w:rPr>
          <w:rFonts w:eastAsia="Arial" w:cs="Arial"/>
          <w:color w:val="000000" w:themeColor="text1"/>
        </w:rPr>
        <w:t xml:space="preserve">section </w:t>
      </w:r>
      <w:r w:rsidRPr="0022072C">
        <w:rPr>
          <w:rFonts w:eastAsia="Arial" w:cs="Arial"/>
          <w:color w:val="000000" w:themeColor="text1"/>
        </w:rPr>
        <w:t>III.A.2</w:t>
      </w:r>
      <w:r w:rsidRPr="004B171A">
        <w:rPr>
          <w:rFonts w:eastAsia="Arial" w:cs="Arial"/>
          <w:color w:val="000000" w:themeColor="text1"/>
        </w:rPr>
        <w:t>, the</w:t>
      </w:r>
      <w:r w:rsidRPr="679F8B33">
        <w:rPr>
          <w:rFonts w:eastAsia="Arial" w:cs="Arial"/>
          <w:color w:val="000000" w:themeColor="text1"/>
        </w:rPr>
        <w:t xml:space="preserve"> Postal Service has no discretion to impose additional conditions that Congress did not specify in 18 U.S.C. 1716E(b)(4)</w:t>
      </w:r>
      <w:r>
        <w:rPr>
          <w:rFonts w:eastAsia="Arial" w:cs="Arial"/>
          <w:color w:val="000000" w:themeColor="text1"/>
        </w:rPr>
        <w:t xml:space="preserve">(B). If anything, the contrast with measures that Congress simultaneously adopted </w:t>
      </w:r>
      <w:r w:rsidR="00886C84">
        <w:rPr>
          <w:rFonts w:eastAsia="Arial" w:cs="Arial"/>
          <w:color w:val="000000" w:themeColor="text1"/>
        </w:rPr>
        <w:t xml:space="preserve">through amendments to </w:t>
      </w:r>
      <w:r>
        <w:rPr>
          <w:rFonts w:eastAsia="Arial" w:cs="Arial"/>
          <w:color w:val="000000" w:themeColor="text1"/>
        </w:rPr>
        <w:t>the Jenkins Act indicates that Congress did not intend for such measures to govern mailability.</w:t>
      </w:r>
      <w:r w:rsidRPr="679F8B33">
        <w:rPr>
          <w:rFonts w:eastAsia="Arial" w:cs="Arial"/>
          <w:color w:val="000000" w:themeColor="text1"/>
        </w:rPr>
        <w:t xml:space="preserve"> </w:t>
      </w:r>
      <w:r>
        <w:rPr>
          <w:rFonts w:eastAsia="Arial" w:cs="Arial"/>
          <w:color w:val="000000" w:themeColor="text1"/>
        </w:rPr>
        <w:t xml:space="preserve">As such, the final rule </w:t>
      </w:r>
      <w:r w:rsidR="000563B5">
        <w:rPr>
          <w:rFonts w:eastAsia="Arial" w:cs="Arial"/>
          <w:color w:val="000000" w:themeColor="text1"/>
        </w:rPr>
        <w:t xml:space="preserve">maintains </w:t>
      </w:r>
      <w:r w:rsidRPr="679F8B33">
        <w:rPr>
          <w:rFonts w:eastAsia="Arial" w:cs="Arial"/>
          <w:color w:val="000000" w:themeColor="text1"/>
        </w:rPr>
        <w:t>the age</w:t>
      </w:r>
      <w:r>
        <w:rPr>
          <w:rFonts w:eastAsia="Arial" w:cs="Arial"/>
          <w:color w:val="000000" w:themeColor="text1"/>
        </w:rPr>
        <w:t>-</w:t>
      </w:r>
      <w:r w:rsidRPr="679F8B33">
        <w:rPr>
          <w:rFonts w:eastAsia="Arial" w:cs="Arial"/>
          <w:color w:val="000000" w:themeColor="text1"/>
        </w:rPr>
        <w:t xml:space="preserve">verification and delivery requirements set out for this exception in </w:t>
      </w:r>
      <w:r w:rsidRPr="00D02ECA">
        <w:rPr>
          <w:rFonts w:eastAsia="Arial" w:cs="Arial"/>
          <w:color w:val="000000" w:themeColor="text1"/>
        </w:rPr>
        <w:t>Publication 52</w:t>
      </w:r>
      <w:r w:rsidRPr="679F8B33">
        <w:rPr>
          <w:rFonts w:eastAsia="Arial" w:cs="Arial"/>
          <w:color w:val="000000" w:themeColor="text1"/>
        </w:rPr>
        <w:t xml:space="preserve"> section 472.23.</w:t>
      </w:r>
    </w:p>
    <w:p w14:paraId="113F9682" w14:textId="08C912D6" w:rsidR="009C7211" w:rsidRDefault="00710644" w:rsidP="009C7211">
      <w:pPr>
        <w:ind w:firstLine="720"/>
        <w:rPr>
          <w:rFonts w:eastAsia="Arial" w:cs="Arial"/>
          <w:color w:val="000000" w:themeColor="text1"/>
        </w:rPr>
      </w:pPr>
      <w:r>
        <w:rPr>
          <w:rFonts w:eastAsia="Arial" w:cs="Arial"/>
          <w:color w:val="000000" w:themeColor="text1"/>
        </w:rPr>
        <w:t>A</w:t>
      </w:r>
      <w:r w:rsidR="009C7211" w:rsidRPr="679F8B33">
        <w:rPr>
          <w:rFonts w:eastAsia="Arial" w:cs="Arial"/>
          <w:color w:val="000000" w:themeColor="text1"/>
        </w:rPr>
        <w:t xml:space="preserve">n industry coalition suggested that the Postal Service allow prepaid mailing labels to be used for this exception, so that consumers would not bear the costs of returns to manufacturers. </w:t>
      </w:r>
      <w:r w:rsidR="00962BDD">
        <w:rPr>
          <w:rFonts w:eastAsia="Arial" w:cs="Arial"/>
          <w:color w:val="000000" w:themeColor="text1"/>
        </w:rPr>
        <w:t xml:space="preserve">As explained in section III.G.5, the Postal Service </w:t>
      </w:r>
      <w:r w:rsidR="00C476AE">
        <w:rPr>
          <w:rFonts w:eastAsia="Arial" w:cs="Arial"/>
          <w:color w:val="000000" w:themeColor="text1"/>
        </w:rPr>
        <w:t xml:space="preserve">has determined that Adult Signature service permits the fulfillment of the Postal Service’s verification responsibilities under the PACT Act. </w:t>
      </w:r>
      <w:r w:rsidR="009C7211" w:rsidRPr="679F8B33">
        <w:rPr>
          <w:rFonts w:eastAsia="Arial" w:cs="Arial"/>
          <w:color w:val="000000" w:themeColor="text1"/>
        </w:rPr>
        <w:t xml:space="preserve">At present, </w:t>
      </w:r>
      <w:r w:rsidR="00761C34">
        <w:rPr>
          <w:rFonts w:eastAsia="Arial" w:cs="Arial"/>
          <w:color w:val="000000" w:themeColor="text1"/>
        </w:rPr>
        <w:lastRenderedPageBreak/>
        <w:t>Adult Signature service</w:t>
      </w:r>
      <w:r w:rsidR="00C476AE">
        <w:rPr>
          <w:rFonts w:eastAsia="Arial" w:cs="Arial"/>
          <w:color w:val="000000" w:themeColor="text1"/>
        </w:rPr>
        <w:t xml:space="preserve"> is not available in conjunction with </w:t>
      </w:r>
      <w:r w:rsidR="009C7211" w:rsidRPr="679F8B33">
        <w:rPr>
          <w:rFonts w:eastAsia="Arial" w:cs="Arial"/>
          <w:color w:val="000000" w:themeColor="text1"/>
        </w:rPr>
        <w:t xml:space="preserve">domestic </w:t>
      </w:r>
      <w:r w:rsidR="009C7211">
        <w:rPr>
          <w:rFonts w:eastAsia="Arial" w:cs="Arial"/>
          <w:color w:val="000000" w:themeColor="text1"/>
        </w:rPr>
        <w:t>r</w:t>
      </w:r>
      <w:r w:rsidR="009C7211" w:rsidRPr="679F8B33">
        <w:rPr>
          <w:rFonts w:eastAsia="Arial" w:cs="Arial"/>
          <w:color w:val="000000" w:themeColor="text1"/>
        </w:rPr>
        <w:t xml:space="preserve">eturn services that would allow for the use of prepaid mailing labels in this </w:t>
      </w:r>
      <w:r w:rsidR="009C7211" w:rsidRPr="004B171A">
        <w:rPr>
          <w:rFonts w:eastAsia="Arial" w:cs="Arial"/>
          <w:color w:val="000000" w:themeColor="text1"/>
        </w:rPr>
        <w:t xml:space="preserve">manner. </w:t>
      </w:r>
      <w:r w:rsidR="009C7211" w:rsidRPr="0022072C">
        <w:rPr>
          <w:rFonts w:eastAsia="Arial" w:cs="Arial"/>
          <w:color w:val="000000" w:themeColor="text1"/>
        </w:rPr>
        <w:t xml:space="preserve">See DMM </w:t>
      </w:r>
      <w:r w:rsidR="001F5A23">
        <w:rPr>
          <w:rFonts w:eastAsia="Arial" w:cs="Arial"/>
          <w:color w:val="000000" w:themeColor="text1"/>
        </w:rPr>
        <w:t xml:space="preserve">ex. </w:t>
      </w:r>
      <w:r w:rsidR="009C7211" w:rsidRPr="0022072C">
        <w:rPr>
          <w:rFonts w:eastAsia="Arial" w:cs="Arial"/>
          <w:color w:val="000000" w:themeColor="text1"/>
        </w:rPr>
        <w:t>503.1.4.1, .1.4.3</w:t>
      </w:r>
      <w:r w:rsidR="006B327A">
        <w:rPr>
          <w:rFonts w:eastAsia="Arial" w:cs="Arial"/>
          <w:color w:val="000000" w:themeColor="text1"/>
        </w:rPr>
        <w:t xml:space="preserve">; Postal Regulatory Comm’n, Mail Classification Schedule </w:t>
      </w:r>
      <w:r w:rsidR="00B51C2C">
        <w:rPr>
          <w:rFonts w:eastAsia="Arial" w:cs="Arial"/>
          <w:color w:val="000000" w:themeColor="text1"/>
        </w:rPr>
        <w:t>sections</w:t>
      </w:r>
      <w:r w:rsidR="00B42E8D">
        <w:rPr>
          <w:rFonts w:eastAsia="Arial" w:cs="Arial"/>
          <w:color w:val="000000" w:themeColor="text1"/>
        </w:rPr>
        <w:t xml:space="preserve"> 2120.5,</w:t>
      </w:r>
      <w:r w:rsidR="00B51C2C">
        <w:rPr>
          <w:rFonts w:eastAsia="Arial" w:cs="Arial"/>
          <w:color w:val="000000" w:themeColor="text1"/>
        </w:rPr>
        <w:t xml:space="preserve"> </w:t>
      </w:r>
      <w:r w:rsidR="00BD6384">
        <w:rPr>
          <w:rFonts w:eastAsia="Arial" w:cs="Arial"/>
          <w:color w:val="000000" w:themeColor="text1"/>
        </w:rPr>
        <w:t>2645.1.</w:t>
      </w:r>
      <w:r w:rsidR="00661B84">
        <w:rPr>
          <w:rFonts w:eastAsia="Arial" w:cs="Arial"/>
          <w:color w:val="000000" w:themeColor="text1"/>
        </w:rPr>
        <w:t xml:space="preserve">1.d </w:t>
      </w:r>
      <w:r w:rsidR="007A209C">
        <w:rPr>
          <w:rFonts w:eastAsia="Arial" w:cs="Arial"/>
          <w:color w:val="000000" w:themeColor="text1"/>
        </w:rPr>
        <w:t>(</w:t>
      </w:r>
      <w:r w:rsidR="009B6A7B">
        <w:rPr>
          <w:rFonts w:eastAsia="Arial" w:cs="Arial"/>
          <w:color w:val="000000" w:themeColor="text1"/>
        </w:rPr>
        <w:t>last edited Oct. 3</w:t>
      </w:r>
      <w:r w:rsidR="001F3B04">
        <w:rPr>
          <w:rFonts w:eastAsia="Arial" w:cs="Arial"/>
          <w:color w:val="000000" w:themeColor="text1"/>
        </w:rPr>
        <w:t>, 2021)</w:t>
      </w:r>
      <w:r w:rsidR="001B4023">
        <w:rPr>
          <w:rFonts w:eastAsia="Arial" w:cs="Arial"/>
          <w:color w:val="000000" w:themeColor="text1"/>
        </w:rPr>
        <w:t xml:space="preserve">, available at </w:t>
      </w:r>
      <w:hyperlink r:id="rId13" w:history="1">
        <w:r w:rsidR="00224029" w:rsidRPr="00D33AB6">
          <w:rPr>
            <w:rStyle w:val="Hyperlink"/>
            <w:rFonts w:eastAsia="Arial" w:cs="Arial"/>
          </w:rPr>
          <w:t>https://go.usa.gov/xFmHg</w:t>
        </w:r>
      </w:hyperlink>
      <w:r w:rsidR="009C7211" w:rsidRPr="0022072C">
        <w:rPr>
          <w:rFonts w:eastAsia="Arial" w:cs="Arial"/>
          <w:color w:val="000000" w:themeColor="text1"/>
        </w:rPr>
        <w:t>.</w:t>
      </w:r>
    </w:p>
    <w:p w14:paraId="6EFD5284" w14:textId="0FF33836" w:rsidR="00016516" w:rsidRPr="006F5D98" w:rsidRDefault="008708FA" w:rsidP="00FE6779">
      <w:pPr>
        <w:ind w:firstLine="720"/>
        <w:rPr>
          <w:bCs/>
        </w:rPr>
      </w:pPr>
      <w:r w:rsidRPr="00FE6779">
        <w:rPr>
          <w:b/>
          <w:bCs/>
        </w:rPr>
        <w:t>I.</w:t>
      </w:r>
      <w:r w:rsidRPr="00FE6779">
        <w:rPr>
          <w:b/>
          <w:bCs/>
        </w:rPr>
        <w:tab/>
      </w:r>
      <w:bookmarkStart w:id="41" w:name="_Toc79569825"/>
      <w:r w:rsidR="00C82FFC" w:rsidRPr="00FE6779">
        <w:rPr>
          <w:b/>
          <w:bCs/>
        </w:rPr>
        <w:t>Consumer Testing and Public Health Exceptions</w:t>
      </w:r>
      <w:bookmarkEnd w:id="41"/>
    </w:p>
    <w:p w14:paraId="366A4AB8" w14:textId="339CDE16" w:rsidR="00C761B9" w:rsidRDefault="00634CCB" w:rsidP="00C761B9">
      <w:pPr>
        <w:ind w:firstLine="720"/>
      </w:pPr>
      <w:r>
        <w:t xml:space="preserve">The Consumer Testing exception allows </w:t>
      </w:r>
      <w:r w:rsidR="00827801">
        <w:t>“</w:t>
      </w:r>
      <w:r>
        <w:t>legally operating cigarette manufacturer</w:t>
      </w:r>
      <w:r w:rsidR="00827801">
        <w:t>[s]” (and their legally authorized agents) “to mail cigarettes to verified adult smoker</w:t>
      </w:r>
      <w:r w:rsidR="00F36441">
        <w:t>[s] solely for consumer testing purposes.” 18 U.S.C. 1716E(b)(5)(A). The exception is subject to a number of conditions</w:t>
      </w:r>
      <w:r w:rsidR="00FD5737">
        <w:t xml:space="preserve"> regarding </w:t>
      </w:r>
      <w:r w:rsidR="009807B0">
        <w:t>manufacturer permitting, cigarette quantity, shipment frequency,</w:t>
      </w:r>
      <w:r w:rsidR="001111A6">
        <w:t xml:space="preserve"> tax compliance, payments from the manufacturer to recipients (not the other way around), </w:t>
      </w:r>
      <w:r w:rsidR="000A0A80">
        <w:t>age</w:t>
      </w:r>
      <w:r w:rsidR="00C95BAE">
        <w:t xml:space="preserve"> and identity</w:t>
      </w:r>
      <w:r w:rsidR="000A0A80">
        <w:t xml:space="preserve"> verification, </w:t>
      </w:r>
      <w:r w:rsidR="00881327">
        <w:t xml:space="preserve">tracking and delivery confirmation, and recordkeeping, </w:t>
      </w:r>
      <w:r w:rsidR="00606646">
        <w:t xml:space="preserve">among other things. </w:t>
      </w:r>
      <w:r w:rsidR="00606646">
        <w:rPr>
          <w:i/>
          <w:iCs/>
        </w:rPr>
        <w:t>Id.</w:t>
      </w:r>
      <w:r w:rsidR="00606646">
        <w:t xml:space="preserve"> at (b)(5)(</w:t>
      </w:r>
      <w:r w:rsidR="009D4D41">
        <w:t>A)</w:t>
      </w:r>
      <w:r w:rsidR="00B063BF">
        <w:t>–</w:t>
      </w:r>
      <w:r w:rsidR="000A0A80">
        <w:t>(C).</w:t>
      </w:r>
    </w:p>
    <w:p w14:paraId="21B69F70" w14:textId="1A787F5C" w:rsidR="00A54A8F" w:rsidRDefault="00A54A8F" w:rsidP="00C761B9">
      <w:pPr>
        <w:ind w:firstLine="720"/>
      </w:pPr>
      <w:r>
        <w:t xml:space="preserve">The Public Health exception permits Federal agencies “engaged in the consumer testing of cigarettes for public health purposes” to </w:t>
      </w:r>
      <w:r w:rsidR="004813C7">
        <w:t>mail “cigarettes” in the same manner as manufacturers under the Consumer Testing exception, except that the payment requirement is waived.</w:t>
      </w:r>
      <w:r w:rsidR="00BD6692">
        <w:t xml:space="preserve"> </w:t>
      </w:r>
      <w:r w:rsidR="00BD6692">
        <w:rPr>
          <w:i/>
          <w:iCs/>
        </w:rPr>
        <w:t>Id.</w:t>
      </w:r>
      <w:r w:rsidR="00BD6692">
        <w:t xml:space="preserve"> at (b)(6).</w:t>
      </w:r>
    </w:p>
    <w:p w14:paraId="1BBAA49F" w14:textId="0640118E" w:rsidR="00ED01EF" w:rsidRDefault="00A14DB7" w:rsidP="00C761B9">
      <w:pPr>
        <w:ind w:firstLine="720"/>
      </w:pPr>
      <w:r>
        <w:t xml:space="preserve">As relevant to both exceptions, </w:t>
      </w:r>
      <w:r w:rsidR="00ED01EF">
        <w:t>“</w:t>
      </w:r>
      <w:r>
        <w:t>c</w:t>
      </w:r>
      <w:r w:rsidR="00ED01EF">
        <w:t xml:space="preserve">onsumer testing” is limited to “formal data collection and analysis for the specific purpose of evaluating the product for quality assurance and benchmarking purposes of cigarette brands or sub-brands among existing adult smokers.” </w:t>
      </w:r>
      <w:r w:rsidR="00ED01EF">
        <w:rPr>
          <w:i/>
          <w:iCs/>
        </w:rPr>
        <w:t>Id.</w:t>
      </w:r>
      <w:r w:rsidR="00ED01EF">
        <w:t xml:space="preserve"> at (b)(5)(D).</w:t>
      </w:r>
    </w:p>
    <w:p w14:paraId="1D7365FD" w14:textId="3E1AFE34" w:rsidR="00BD6692" w:rsidRDefault="00BD6692" w:rsidP="00C761B9">
      <w:pPr>
        <w:ind w:firstLine="720"/>
      </w:pPr>
      <w:r>
        <w:lastRenderedPageBreak/>
        <w:t xml:space="preserve">In the notice of proposed rulemaking, the Postal Service </w:t>
      </w:r>
      <w:r w:rsidR="00FF18B3">
        <w:t xml:space="preserve">noted that </w:t>
      </w:r>
      <w:r w:rsidR="00ED01EF">
        <w:t xml:space="preserve">the use of “cigarettes” in these provisions </w:t>
      </w:r>
      <w:r w:rsidR="00141CC7">
        <w:t>raises an interpretive question. On the one hand, the POSECCA subsumes ENDS products within the term “cigarettes.”</w:t>
      </w:r>
      <w:r w:rsidR="00B877CA">
        <w:t xml:space="preserve"> 15 U.S.C. 375(7).</w:t>
      </w:r>
      <w:r w:rsidR="00141CC7">
        <w:t xml:space="preserve"> On the other hand, </w:t>
      </w:r>
      <w:r w:rsidR="006D3BC3">
        <w:t>the exceptions are confined to packages containing “not more than 12 packs of cigarettes (240 cigarettes)”</w:t>
      </w:r>
      <w:r w:rsidR="00D1224E">
        <w:t>—</w:t>
      </w:r>
      <w:r w:rsidR="00125729">
        <w:t xml:space="preserve">quantities that </w:t>
      </w:r>
      <w:r w:rsidR="00D1224E">
        <w:t xml:space="preserve">denote </w:t>
      </w:r>
      <w:r w:rsidR="00125729">
        <w:t>standard packaging of combustible cigarettes but not ENDS products</w:t>
      </w:r>
      <w:r w:rsidR="00D1224E">
        <w:t>—</w:t>
      </w:r>
      <w:r w:rsidR="00E950EF">
        <w:t>and Congress did not amend those provisions to indicate how the quantity limits should apply to ENDS products. 18 U.S.C. 1716E(b)(5)(A)(ii), (C)(ii)(III).</w:t>
      </w:r>
      <w:r w:rsidR="00F46918">
        <w:t xml:space="preserve"> The Postal Service tentatively opined that it would be reasonable to construe the lack of accommodation for ENDS products here </w:t>
      </w:r>
      <w:r w:rsidR="005555F6">
        <w:t>as rendering the exceptions inapplicable to ENDS products</w:t>
      </w:r>
      <w:r w:rsidR="00993AF9">
        <w:t xml:space="preserve">, and the Postal Service invited views and proposed alternative standards from commenters. 86 </w:t>
      </w:r>
      <w:r w:rsidR="007A54C0">
        <w:t>FR</w:t>
      </w:r>
      <w:r w:rsidR="00993AF9">
        <w:t xml:space="preserve"> at 10220.</w:t>
      </w:r>
    </w:p>
    <w:p w14:paraId="5A485483" w14:textId="5F619BA9" w:rsidR="00C82FFC" w:rsidRPr="006F5D98" w:rsidRDefault="008708FA" w:rsidP="00FE6779">
      <w:pPr>
        <w:ind w:left="720" w:firstLine="720"/>
        <w:rPr>
          <w:bCs/>
        </w:rPr>
      </w:pPr>
      <w:bookmarkStart w:id="42" w:name="_Toc79569826"/>
      <w:r w:rsidRPr="00FE6779">
        <w:rPr>
          <w:b/>
          <w:bCs/>
        </w:rPr>
        <w:t>1.</w:t>
      </w:r>
      <w:r w:rsidRPr="00FE6779">
        <w:rPr>
          <w:b/>
          <w:bCs/>
        </w:rPr>
        <w:tab/>
      </w:r>
      <w:r w:rsidR="00B72B5D" w:rsidRPr="00FE6779">
        <w:rPr>
          <w:b/>
          <w:bCs/>
        </w:rPr>
        <w:t>Testing by Manufacturers</w:t>
      </w:r>
      <w:bookmarkEnd w:id="42"/>
    </w:p>
    <w:p w14:paraId="34CDCCB4" w14:textId="3B92C24E" w:rsidR="00EE7A6B" w:rsidRPr="00BD6692" w:rsidRDefault="00EE7A6B" w:rsidP="00EE7A6B">
      <w:pPr>
        <w:ind w:firstLine="720"/>
      </w:pPr>
      <w:r>
        <w:t xml:space="preserve">Public-health commenters generally </w:t>
      </w:r>
      <w:r w:rsidR="00274B94">
        <w:t xml:space="preserve">opposed extending </w:t>
      </w:r>
      <w:r w:rsidR="00BE268F">
        <w:t>the Consumer Testing exception</w:t>
      </w:r>
      <w:r w:rsidR="00274B94">
        <w:t xml:space="preserve"> to ENDS manufacturers. One group of </w:t>
      </w:r>
      <w:r w:rsidR="00527970">
        <w:t xml:space="preserve">public-health </w:t>
      </w:r>
      <w:r w:rsidR="00274B94">
        <w:t xml:space="preserve">organizations agreed with the notice of proposed rulemaking, in that the wide variety of ENDS packaging and Congressional silence on the matter indicate that Congress did not intend the exception to cover ENDS products. </w:t>
      </w:r>
      <w:r w:rsidR="00527970">
        <w:t>Another public-health organization</w:t>
      </w:r>
      <w:r w:rsidR="00FA52F4">
        <w:t xml:space="preserve"> noted that </w:t>
      </w:r>
      <w:r w:rsidR="004223E7">
        <w:t>ENDS products do not have the same degree of standardization as cigarettes: for example, an ENDS pod containing 5</w:t>
      </w:r>
      <w:r w:rsidR="00B41020">
        <w:t> </w:t>
      </w:r>
      <w:r w:rsidR="004223E7">
        <w:t>percent nicotine liquid may contain a roughly comparable amount of nicotine to 1</w:t>
      </w:r>
      <w:r w:rsidR="00BD018C">
        <w:t>–</w:t>
      </w:r>
      <w:r w:rsidR="004223E7">
        <w:t xml:space="preserve">1.5 packs of </w:t>
      </w:r>
      <w:r w:rsidR="00FC7F92">
        <w:t xml:space="preserve">combustible </w:t>
      </w:r>
      <w:r w:rsidR="004223E7">
        <w:t xml:space="preserve">cigarettes, but </w:t>
      </w:r>
      <w:r w:rsidR="00FC7F92">
        <w:t>more of the combustible cigarettes’ nicotine is wasted, and less delivered to the user, due to so-called “</w:t>
      </w:r>
      <w:proofErr w:type="spellStart"/>
      <w:r w:rsidR="00FC7F92">
        <w:t>sidestream</w:t>
      </w:r>
      <w:proofErr w:type="spellEnd"/>
      <w:r w:rsidR="00FC7F92">
        <w:t xml:space="preserve"> smoke</w:t>
      </w:r>
      <w:r w:rsidR="00FA52F4">
        <w:t>.</w:t>
      </w:r>
      <w:r w:rsidR="00FC7F92">
        <w:t>”</w:t>
      </w:r>
      <w:r w:rsidR="00804E0F">
        <w:t xml:space="preserve"> </w:t>
      </w:r>
      <w:r w:rsidR="00804E0F">
        <w:lastRenderedPageBreak/>
        <w:t>Moreover, ENDS liquids’ sizes and concentrations vary widely.</w:t>
      </w:r>
      <w:r w:rsidR="00527970">
        <w:t xml:space="preserve"> </w:t>
      </w:r>
      <w:r w:rsidR="00FA52F4">
        <w:t xml:space="preserve">A third such organization </w:t>
      </w:r>
      <w:r w:rsidR="00527970">
        <w:t>raised policy objections regarding the likelihood that ENDS shipments would contain hazardous materials</w:t>
      </w:r>
      <w:r w:rsidR="006822C7">
        <w:t xml:space="preserve">, would promote dangerous product returns under the Certain Individuals exception, and would pose difficulties in policing companies’ representations about </w:t>
      </w:r>
      <w:r w:rsidR="006822C7" w:rsidRPr="00AF27CF">
        <w:t xml:space="preserve">bona fide </w:t>
      </w:r>
      <w:r w:rsidR="006822C7">
        <w:t>consumer testing.</w:t>
      </w:r>
    </w:p>
    <w:p w14:paraId="236609AA" w14:textId="4E2C2B19" w:rsidR="00BE4E94" w:rsidRDefault="00E11A02" w:rsidP="00804E0F">
      <w:pPr>
        <w:ind w:firstLine="720"/>
      </w:pPr>
      <w:r>
        <w:t xml:space="preserve">On the other hand, one public-health organization, </w:t>
      </w:r>
      <w:r w:rsidR="00482304">
        <w:t xml:space="preserve">two law students, </w:t>
      </w:r>
      <w:r w:rsidR="00FF3436">
        <w:t xml:space="preserve">and certain ENDS industry commenters advocated for making the exception available to ENDS manufacturers. </w:t>
      </w:r>
      <w:r w:rsidR="003C10CE">
        <w:t xml:space="preserve">ENDS industry commenters relied on the POSECCA’s inclusion of ENDS products within the term “cigarette,” concluding that </w:t>
      </w:r>
      <w:r w:rsidR="00A07419">
        <w:t>ENDS products</w:t>
      </w:r>
      <w:r w:rsidR="00FA3B38">
        <w:t xml:space="preserve">’ entitlement to the exception must precede construction of </w:t>
      </w:r>
      <w:r w:rsidR="00A07419">
        <w:t>the quantity condition</w:t>
      </w:r>
      <w:r w:rsidR="00FA3B38">
        <w:t>, rather than the other way around</w:t>
      </w:r>
      <w:r w:rsidR="00A07419">
        <w:t xml:space="preserve">. </w:t>
      </w:r>
      <w:r w:rsidR="00FA3B38">
        <w:t xml:space="preserve">One such </w:t>
      </w:r>
      <w:r w:rsidR="00F04BEC">
        <w:t xml:space="preserve">commenter, after repeating its general view that Congress did not intend to make ENDS products nonmailable, pointed out that consumer testing is necessary for ENDS manufacturers to </w:t>
      </w:r>
      <w:r w:rsidR="00C6547D">
        <w:t xml:space="preserve">fulfill requirements for FDA </w:t>
      </w:r>
      <w:r w:rsidR="00C71A43">
        <w:t>authorization</w:t>
      </w:r>
      <w:r w:rsidR="00C6547D">
        <w:t>.</w:t>
      </w:r>
      <w:r w:rsidR="00FA3B38">
        <w:t xml:space="preserve"> These and other commenters proposed various approaches to the quantity condition:</w:t>
      </w:r>
    </w:p>
    <w:p w14:paraId="1BCDB37F" w14:textId="32F875FD" w:rsidR="00341B79" w:rsidRDefault="008F7046" w:rsidP="00D916ED">
      <w:pPr>
        <w:pStyle w:val="ListParagraph"/>
        <w:numPr>
          <w:ilvl w:val="0"/>
          <w:numId w:val="4"/>
        </w:numPr>
      </w:pPr>
      <w:r w:rsidRPr="005D518B">
        <w:rPr>
          <w:i/>
          <w:iCs/>
        </w:rPr>
        <w:t>Nicotine-content equivalency</w:t>
      </w:r>
      <w:r w:rsidR="00A31EC9" w:rsidRPr="005D518B">
        <w:rPr>
          <w:i/>
          <w:iCs/>
        </w:rPr>
        <w:t>:</w:t>
      </w:r>
      <w:r w:rsidR="00A31EC9">
        <w:t xml:space="preserve"> l</w:t>
      </w:r>
      <w:r w:rsidR="002507C6">
        <w:t>imit liquids to 12 units or cartridges, as the purported equivalent to 12 packs of cigarettes</w:t>
      </w:r>
      <w:r w:rsidR="00A31EC9">
        <w:t xml:space="preserve"> (based on the assumption that one 5</w:t>
      </w:r>
      <w:r w:rsidR="006A5B99">
        <w:t xml:space="preserve"> </w:t>
      </w:r>
      <w:r w:rsidR="00A31EC9">
        <w:t>percent</w:t>
      </w:r>
      <w:r w:rsidR="006A5B99">
        <w:t>–</w:t>
      </w:r>
      <w:r w:rsidR="00A31EC9">
        <w:t xml:space="preserve">nicotine </w:t>
      </w:r>
      <w:r w:rsidR="007044F9">
        <w:t xml:space="preserve">ENDS </w:t>
      </w:r>
      <w:r w:rsidR="00A31EC9">
        <w:t>pod equals one pack of cigarettes)</w:t>
      </w:r>
      <w:r w:rsidR="00341B79">
        <w:t xml:space="preserve">; </w:t>
      </w:r>
      <w:r w:rsidR="005D518B">
        <w:t xml:space="preserve">either </w:t>
      </w:r>
      <w:r w:rsidR="00341B79">
        <w:t>no limit on devices</w:t>
      </w:r>
      <w:r w:rsidR="00C3469F">
        <w:t xml:space="preserve">, or </w:t>
      </w:r>
      <w:r w:rsidR="00EA3A7F">
        <w:t xml:space="preserve">limit devices to the amount necessary to enable the </w:t>
      </w:r>
      <w:r>
        <w:t>use of that quantity of liquid.</w:t>
      </w:r>
    </w:p>
    <w:p w14:paraId="653CB701" w14:textId="4A3D42BF" w:rsidR="008F7046" w:rsidRDefault="00C3469F" w:rsidP="00D916ED">
      <w:pPr>
        <w:pStyle w:val="ListParagraph"/>
        <w:numPr>
          <w:ilvl w:val="0"/>
          <w:numId w:val="4"/>
        </w:numPr>
      </w:pPr>
      <w:r w:rsidRPr="005D518B">
        <w:rPr>
          <w:i/>
          <w:iCs/>
        </w:rPr>
        <w:t xml:space="preserve">Nicotine-consumption equivalency: </w:t>
      </w:r>
      <w:r w:rsidR="00B01B22">
        <w:t xml:space="preserve">the quantity needed to supply the average user for </w:t>
      </w:r>
      <w:r w:rsidR="001775D0">
        <w:t>the same period as 240 cigarettes</w:t>
      </w:r>
      <w:r w:rsidR="0008179F">
        <w:t xml:space="preserve">. </w:t>
      </w:r>
      <w:r w:rsidR="001775D0">
        <w:t xml:space="preserve">For example, if </w:t>
      </w:r>
      <w:r w:rsidR="00917F51">
        <w:t xml:space="preserve">the average smoker consumes 14 cigarettes per day, </w:t>
      </w:r>
      <w:r w:rsidR="00B01B22">
        <w:t xml:space="preserve">then 240 cigarettes </w:t>
      </w:r>
      <w:r w:rsidR="00B01B22">
        <w:lastRenderedPageBreak/>
        <w:t>equates to 17 days of average consumption.</w:t>
      </w:r>
      <w:r w:rsidR="00A00A54">
        <w:rPr>
          <w:rStyle w:val="FootnoteReference"/>
        </w:rPr>
        <w:footnoteReference w:id="28"/>
      </w:r>
      <w:r w:rsidR="00B01B22">
        <w:t xml:space="preserve"> </w:t>
      </w:r>
      <w:r w:rsidR="00BF023F">
        <w:t>According to this commenter, most human studies of CBD use dosages ranging between 20 and 1,500 milligrams per day.</w:t>
      </w:r>
      <w:r w:rsidR="00237EAA">
        <w:rPr>
          <w:rStyle w:val="FootnoteReference"/>
        </w:rPr>
        <w:footnoteReference w:id="29"/>
      </w:r>
      <w:r w:rsidR="00237EAA">
        <w:t xml:space="preserve"> Thus, a median dosage of 740 milligrams per day would translate into 12,580 milligrams for 17 days.</w:t>
      </w:r>
    </w:p>
    <w:p w14:paraId="1A4DF913" w14:textId="01EAC31B" w:rsidR="002507C6" w:rsidRDefault="00F04F9E" w:rsidP="00D916ED">
      <w:pPr>
        <w:pStyle w:val="ListParagraph"/>
        <w:numPr>
          <w:ilvl w:val="0"/>
          <w:numId w:val="4"/>
        </w:numPr>
      </w:pPr>
      <w:r w:rsidRPr="00FA470F">
        <w:rPr>
          <w:i/>
          <w:iCs/>
        </w:rPr>
        <w:t>Weight limit</w:t>
      </w:r>
      <w:r w:rsidR="005D518B" w:rsidRPr="00FA470F">
        <w:rPr>
          <w:i/>
          <w:iCs/>
        </w:rPr>
        <w:t>:</w:t>
      </w:r>
      <w:r>
        <w:t xml:space="preserve"> 5 pounds.</w:t>
      </w:r>
    </w:p>
    <w:p w14:paraId="34FA9FB6" w14:textId="0E3D1BAE" w:rsidR="00F04F9E" w:rsidRDefault="005D518B" w:rsidP="00D916ED">
      <w:pPr>
        <w:pStyle w:val="ListParagraph"/>
        <w:numPr>
          <w:ilvl w:val="0"/>
          <w:numId w:val="4"/>
        </w:numPr>
      </w:pPr>
      <w:r w:rsidRPr="00FA470F">
        <w:rPr>
          <w:i/>
          <w:iCs/>
        </w:rPr>
        <w:t>Package limit:</w:t>
      </w:r>
      <w:r>
        <w:t xml:space="preserve"> </w:t>
      </w:r>
      <w:r w:rsidR="00E851AE">
        <w:t xml:space="preserve">one </w:t>
      </w:r>
      <w:r w:rsidR="007A14DC">
        <w:t>package, regardless of contents, as the Postal Service allegedly cannot investigate the contents of shipments anyway; defer to FDA as to limits of consumer tests themselves.</w:t>
      </w:r>
    </w:p>
    <w:p w14:paraId="5B7804E9" w14:textId="43FCE1BD" w:rsidR="00505E0D" w:rsidRDefault="00505E0D" w:rsidP="00D916ED">
      <w:pPr>
        <w:pStyle w:val="ListParagraph"/>
        <w:numPr>
          <w:ilvl w:val="0"/>
          <w:numId w:val="4"/>
        </w:numPr>
      </w:pPr>
      <w:r>
        <w:rPr>
          <w:i/>
          <w:iCs/>
        </w:rPr>
        <w:t>Size limit:</w:t>
      </w:r>
      <w:r>
        <w:t xml:space="preserve"> </w:t>
      </w:r>
      <w:r w:rsidR="00E851AE">
        <w:t>package dimensions equivalent to a package containing 12 packs of combustible cigarettes.</w:t>
      </w:r>
      <w:r w:rsidR="00D861E6">
        <w:t xml:space="preserve"> This commenter submitted that one pack is typically </w:t>
      </w:r>
      <w:r w:rsidR="00A84822">
        <w:t xml:space="preserve">3.5 inches by 2.25 inches by 0.88 inch, for a volume of 6.93 cubic inches, hence 12 packs would be </w:t>
      </w:r>
      <w:r w:rsidR="00185830">
        <w:t xml:space="preserve">83.16 cubic inches. The commenter noted that these external characteristics are objective and observable, </w:t>
      </w:r>
      <w:r w:rsidR="00E35A7F">
        <w:t>thereby averting the need to open a package and inspect contents.</w:t>
      </w:r>
    </w:p>
    <w:p w14:paraId="6F6947F8" w14:textId="16D3CBD8" w:rsidR="0095416D" w:rsidRDefault="00FA470F" w:rsidP="00D916ED">
      <w:pPr>
        <w:pStyle w:val="ListParagraph"/>
        <w:numPr>
          <w:ilvl w:val="0"/>
          <w:numId w:val="4"/>
        </w:numPr>
      </w:pPr>
      <w:r w:rsidRPr="00FA470F">
        <w:rPr>
          <w:i/>
          <w:iCs/>
        </w:rPr>
        <w:t>To be determined:</w:t>
      </w:r>
      <w:r>
        <w:t xml:space="preserve"> c</w:t>
      </w:r>
      <w:r w:rsidR="0095416D">
        <w:t>ollaborate with FDA and CDC to devise an appropriate equivalency standard</w:t>
      </w:r>
      <w:r w:rsidR="00341B79">
        <w:t>, which may evolve with further data</w:t>
      </w:r>
      <w:r w:rsidR="0095416D">
        <w:t>.</w:t>
      </w:r>
    </w:p>
    <w:p w14:paraId="17EEE57C" w14:textId="4DCE33D9" w:rsidR="006E2440" w:rsidRPr="00C5303E" w:rsidRDefault="00E35A7F" w:rsidP="00804E0F">
      <w:pPr>
        <w:ind w:firstLine="720"/>
      </w:pPr>
      <w:r>
        <w:t xml:space="preserve">The Postal Service appreciates these thoughtful suggestions, which </w:t>
      </w:r>
      <w:r w:rsidR="00B44844">
        <w:t>are</w:t>
      </w:r>
      <w:r>
        <w:t xml:space="preserve"> discussed in greater depth </w:t>
      </w:r>
      <w:r w:rsidR="00E86A43">
        <w:t>later in this section</w:t>
      </w:r>
      <w:r>
        <w:t xml:space="preserve">. Upon further review, </w:t>
      </w:r>
      <w:r w:rsidR="00437F9A">
        <w:t xml:space="preserve">however, </w:t>
      </w:r>
      <w:r>
        <w:t xml:space="preserve">it is </w:t>
      </w:r>
      <w:r>
        <w:lastRenderedPageBreak/>
        <w:t xml:space="preserve">unnecessary to </w:t>
      </w:r>
      <w:r w:rsidR="00BB4730">
        <w:t xml:space="preserve">evaluate the suitability of a </w:t>
      </w:r>
      <w:r>
        <w:t>quantity standard</w:t>
      </w:r>
      <w:r w:rsidR="00BB4730">
        <w:t xml:space="preserve"> for ENDS products in connection with the Consumer Testing exception</w:t>
      </w:r>
      <w:r w:rsidR="006E2440">
        <w:t xml:space="preserve">. </w:t>
      </w:r>
      <w:r w:rsidR="004C7716">
        <w:t xml:space="preserve">Beyond the interpretive difficulties posed by the quantity limit, </w:t>
      </w:r>
      <w:r w:rsidR="00081B25">
        <w:t xml:space="preserve">Congress has provided </w:t>
      </w:r>
      <w:r w:rsidR="004C7716">
        <w:t xml:space="preserve">at least two </w:t>
      </w:r>
      <w:r w:rsidR="00081B25">
        <w:t xml:space="preserve">other indications of legislative intent that the </w:t>
      </w:r>
      <w:r w:rsidR="004C7716">
        <w:t xml:space="preserve">Consumer Testing </w:t>
      </w:r>
      <w:r w:rsidR="00081B25">
        <w:t>exception applies only to combustible cigarettes and not to ENDS products, notwithstanding their technical inclusion within the term “cigarette” generally.</w:t>
      </w:r>
      <w:r w:rsidR="00762B99">
        <w:t xml:space="preserve"> </w:t>
      </w:r>
      <w:r w:rsidR="004731FA">
        <w:t>After all, even statutorily defined terms can give way where context indicates that Congress intended a different meaning.</w:t>
      </w:r>
      <w:r w:rsidR="00C5303E">
        <w:t xml:space="preserve"> </w:t>
      </w:r>
      <w:r w:rsidR="00C5303E" w:rsidRPr="00AF27CF">
        <w:t>See</w:t>
      </w:r>
      <w:r w:rsidR="004731FA" w:rsidRPr="00AF27CF">
        <w:t>, e.g.</w:t>
      </w:r>
      <w:r w:rsidR="004731FA">
        <w:t>,</w:t>
      </w:r>
      <w:r w:rsidR="00C5303E">
        <w:rPr>
          <w:i/>
          <w:iCs/>
        </w:rPr>
        <w:t xml:space="preserve"> Int’l Primate Prot</w:t>
      </w:r>
      <w:r w:rsidR="008E21FF">
        <w:rPr>
          <w:i/>
          <w:iCs/>
        </w:rPr>
        <w:t>.</w:t>
      </w:r>
      <w:r w:rsidR="00C5303E">
        <w:rPr>
          <w:i/>
          <w:iCs/>
        </w:rPr>
        <w:t xml:space="preserve"> League v. </w:t>
      </w:r>
      <w:proofErr w:type="spellStart"/>
      <w:r w:rsidR="00C5303E">
        <w:rPr>
          <w:i/>
          <w:iCs/>
        </w:rPr>
        <w:t>Adm’rs</w:t>
      </w:r>
      <w:proofErr w:type="spellEnd"/>
      <w:r w:rsidR="00C5303E">
        <w:rPr>
          <w:i/>
          <w:iCs/>
        </w:rPr>
        <w:t xml:space="preserve"> of Tulane Educ. Fund</w:t>
      </w:r>
      <w:r w:rsidR="00C5303E">
        <w:t xml:space="preserve">, </w:t>
      </w:r>
      <w:r w:rsidR="00C01809">
        <w:t xml:space="preserve">500 U.S. 72, </w:t>
      </w:r>
      <w:r w:rsidR="00ED6F9C">
        <w:t>80, 83 (1991)</w:t>
      </w:r>
      <w:r w:rsidR="00F574F6">
        <w:t xml:space="preserve">; </w:t>
      </w:r>
      <w:r w:rsidR="00F574F6">
        <w:rPr>
          <w:i/>
          <w:iCs/>
        </w:rPr>
        <w:t>In re Korean Air Lines Co.</w:t>
      </w:r>
      <w:r w:rsidR="00F574F6">
        <w:t xml:space="preserve">, 642 F.3d 685, </w:t>
      </w:r>
      <w:r w:rsidR="00736082">
        <w:t>692-93</w:t>
      </w:r>
      <w:r w:rsidR="00F574F6">
        <w:t xml:space="preserve"> (9th Cir. 2011)</w:t>
      </w:r>
      <w:r w:rsidR="00ED6F9C">
        <w:t>.</w:t>
      </w:r>
    </w:p>
    <w:p w14:paraId="7664E4CC" w14:textId="7029F838" w:rsidR="00CB250B" w:rsidRDefault="00CB250B" w:rsidP="00CB250B">
      <w:pPr>
        <w:ind w:firstLine="720"/>
      </w:pPr>
      <w:r>
        <w:t xml:space="preserve">First, the exception is available only to “cigarette manufacturer[s]” with a permit “issued under section 5713 of the Internal Revenue Code of 1986.” </w:t>
      </w:r>
      <w:r>
        <w:rPr>
          <w:i/>
          <w:iCs/>
        </w:rPr>
        <w:t>Id.</w:t>
      </w:r>
      <w:r>
        <w:t xml:space="preserve"> at (b)(5)(A)(i). The only entities eligible for such permits are manufacturers and importers of cigars, cigarettes, smokeless tobacco, pipe tobacco, and roll-your-own tobacco, with “cigarette” restricted here to rolls of tobacco wrapped in paper or another substance. 26 U.S.C. 5702(b)–(c), 5713(a). This definition does not describe ENDS products, and so manufacturers of ENDS products are not subject to the Internal Revenue Code section 5713 permit requirement. Accordingly, ENDS manufacturers are not within the ambit of manufacturers eligible to use the mails under the Consumer Testing exception. Here, too, the POSECCA contains no amendment expanding the scope of eligible manufacturers to cover ENDS.</w:t>
      </w:r>
    </w:p>
    <w:p w14:paraId="3BA331DE" w14:textId="3C0A6C01" w:rsidR="006E2440" w:rsidRDefault="00CB250B" w:rsidP="00804E0F">
      <w:pPr>
        <w:ind w:firstLine="720"/>
      </w:pPr>
      <w:r>
        <w:lastRenderedPageBreak/>
        <w:t>Second</w:t>
      </w:r>
      <w:r w:rsidR="00081B25">
        <w:t xml:space="preserve">, </w:t>
      </w:r>
      <w:r w:rsidR="0034449A">
        <w:t>the exception refers repeatedly to cigarettes in connection with a “smoker</w:t>
      </w:r>
      <w:r w:rsidR="004C7716">
        <w:t>.</w:t>
      </w:r>
      <w:r w:rsidR="00A06DD8">
        <w:t xml:space="preserve">” </w:t>
      </w:r>
      <w:r w:rsidR="004C7716">
        <w:t>18 U.S.C. 1716E(b)(5)(A), (b)(5)(C)(ii)(</w:t>
      </w:r>
      <w:proofErr w:type="gramStart"/>
      <w:r w:rsidR="004C7716">
        <w:t>II)(</w:t>
      </w:r>
      <w:proofErr w:type="gramEnd"/>
      <w:r w:rsidR="004C7716">
        <w:t xml:space="preserve">aa), (b)(5)(D)(ii). This </w:t>
      </w:r>
      <w:r w:rsidR="00A06DD8">
        <w:t xml:space="preserve">language clearly denotes combustion, rather than </w:t>
      </w:r>
      <w:r w:rsidR="00956681">
        <w:t>the sub-combustion-level heating that occurs in most ENDS products</w:t>
      </w:r>
      <w:r w:rsidR="004C7716">
        <w:t>.</w:t>
      </w:r>
      <w:r w:rsidR="00D77211">
        <w:rPr>
          <w:rStyle w:val="FootnoteReference"/>
        </w:rPr>
        <w:footnoteReference w:id="30"/>
      </w:r>
      <w:r w:rsidR="00A06DD8">
        <w:t xml:space="preserve"> </w:t>
      </w:r>
      <w:r w:rsidR="004C7716">
        <w:t>T</w:t>
      </w:r>
      <w:r w:rsidR="00A06DD8">
        <w:t xml:space="preserve">he POSECCA contains no amendment that </w:t>
      </w:r>
      <w:r w:rsidR="00551B88">
        <w:t xml:space="preserve">expands </w:t>
      </w:r>
      <w:r w:rsidR="00AB2613">
        <w:t xml:space="preserve">the term “smoker” </w:t>
      </w:r>
      <w:r w:rsidR="00551B88">
        <w:t xml:space="preserve">to encompass the </w:t>
      </w:r>
      <w:proofErr w:type="gramStart"/>
      <w:r w:rsidR="00551B88">
        <w:t>manner in which</w:t>
      </w:r>
      <w:proofErr w:type="gramEnd"/>
      <w:r w:rsidR="00551B88">
        <w:t xml:space="preserve"> ENDS products are consumed.</w:t>
      </w:r>
    </w:p>
    <w:p w14:paraId="4738C521" w14:textId="0BE99134" w:rsidR="00721080" w:rsidRDefault="006F3E45" w:rsidP="00804E0F">
      <w:pPr>
        <w:ind w:firstLine="720"/>
      </w:pPr>
      <w:r>
        <w:t>It should be noted that the Consumer Testing exception is unique among the PACT Act’s exceptions in that it</w:t>
      </w:r>
      <w:r w:rsidR="00C21305">
        <w:t xml:space="preserve"> pertains specifically to “cigarettes” and not to the full range of </w:t>
      </w:r>
      <w:r w:rsidR="00620118">
        <w:t xml:space="preserve">“mailings” or </w:t>
      </w:r>
      <w:r w:rsidR="00C21305">
        <w:t xml:space="preserve">“tobacco products” </w:t>
      </w:r>
      <w:r w:rsidR="00620118">
        <w:t xml:space="preserve">covered by the PACT Act. </w:t>
      </w:r>
      <w:r w:rsidR="00620118" w:rsidRPr="00AF27CF">
        <w:t>Compare</w:t>
      </w:r>
      <w:r w:rsidR="00620118">
        <w:rPr>
          <w:i/>
          <w:iCs/>
        </w:rPr>
        <w:t xml:space="preserve"> id.</w:t>
      </w:r>
      <w:r w:rsidR="00620118">
        <w:t xml:space="preserve"> at (b)(2)</w:t>
      </w:r>
      <w:proofErr w:type="gramStart"/>
      <w:r w:rsidR="00FC4599">
        <w:t>–</w:t>
      </w:r>
      <w:r w:rsidR="00620118">
        <w:t>(</w:t>
      </w:r>
      <w:proofErr w:type="gramEnd"/>
      <w:r w:rsidR="00620118">
        <w:t xml:space="preserve">4) </w:t>
      </w:r>
      <w:r w:rsidR="00620118" w:rsidRPr="00AF27CF">
        <w:t>with</w:t>
      </w:r>
      <w:r w:rsidR="00620118">
        <w:t xml:space="preserve"> </w:t>
      </w:r>
      <w:r w:rsidR="00620118">
        <w:rPr>
          <w:i/>
          <w:iCs/>
        </w:rPr>
        <w:t>id.</w:t>
      </w:r>
      <w:r w:rsidR="00620118">
        <w:t xml:space="preserve"> at (b)(5). Prior to the POSECCA, </w:t>
      </w:r>
      <w:r w:rsidR="00E514C6">
        <w:t xml:space="preserve">it was therefore clear that the Consumer Testing exception was confined to combustible cigarettes and did not apply to smokeless tobacco. </w:t>
      </w:r>
      <w:r w:rsidR="00F72DA7">
        <w:t xml:space="preserve">While this history alone might not </w:t>
      </w:r>
      <w:r w:rsidR="006514E4">
        <w:t xml:space="preserve">be relevant </w:t>
      </w:r>
      <w:r w:rsidR="000A3EE4">
        <w:t>if Congress had used broader language in the Consumer Testing exception</w:t>
      </w:r>
      <w:r w:rsidR="00AE68A3">
        <w:t xml:space="preserve">, </w:t>
      </w:r>
      <w:r w:rsidR="004109A4">
        <w:t xml:space="preserve">Congress’s retention of combustible-cigarette-specific conditions in the post-POSECCA Consumer Testing exception </w:t>
      </w:r>
      <w:r w:rsidR="006514E4">
        <w:t xml:space="preserve">shows </w:t>
      </w:r>
      <w:r w:rsidR="002B3BD7">
        <w:t>Congress’s continuing intent that the exception apply only to combustible cigarettes, and not to</w:t>
      </w:r>
      <w:r w:rsidR="002E5F95">
        <w:t xml:space="preserve"> other </w:t>
      </w:r>
      <w:r w:rsidR="002E5F95">
        <w:lastRenderedPageBreak/>
        <w:t>products that might now be encompassed within the otherwise-applicable statutory definition of “cigarettes</w:t>
      </w:r>
      <w:r w:rsidR="004109A4">
        <w:t>.</w:t>
      </w:r>
      <w:r w:rsidR="002E5F95">
        <w:t>”</w:t>
      </w:r>
    </w:p>
    <w:p w14:paraId="349B44E1" w14:textId="1DF83E14" w:rsidR="00C264CD" w:rsidRDefault="00617229" w:rsidP="00804E0F">
      <w:pPr>
        <w:ind w:firstLine="720"/>
      </w:pPr>
      <w:r>
        <w:t>Against t</w:t>
      </w:r>
      <w:r w:rsidR="00A3252F">
        <w:t xml:space="preserve">his backdrop regarding </w:t>
      </w:r>
      <w:r>
        <w:t xml:space="preserve">Congress’s intent to apply the Consumer Testing exception only to combustible cigarettes and not to ENDS products, </w:t>
      </w:r>
      <w:r w:rsidR="00006552">
        <w:t xml:space="preserve">it is all the </w:t>
      </w:r>
      <w:r w:rsidR="00F91783">
        <w:t xml:space="preserve">more </w:t>
      </w:r>
      <w:r w:rsidR="00006552">
        <w:t xml:space="preserve">clear that </w:t>
      </w:r>
      <w:r w:rsidR="00796936">
        <w:t>the quantity limit of “12 packs of cigarettes (240 c</w:t>
      </w:r>
      <w:r w:rsidR="0018099E">
        <w:t xml:space="preserve">igarettes)” </w:t>
      </w:r>
      <w:r w:rsidR="00006552">
        <w:t xml:space="preserve">is intended </w:t>
      </w:r>
      <w:r w:rsidR="00FE5231">
        <w:t xml:space="preserve">to govern only combustible cigarettes, in which context such </w:t>
      </w:r>
      <w:r w:rsidR="00114E75">
        <w:t xml:space="preserve">quantities are commonplace, and not ENDS products, which are not so standardized. </w:t>
      </w:r>
      <w:r w:rsidR="00006552">
        <w:t>The language itself suggests this</w:t>
      </w:r>
      <w:r w:rsidR="000E201E">
        <w:t xml:space="preserve"> conclusion</w:t>
      </w:r>
      <w:r w:rsidR="00006552">
        <w:t xml:space="preserve">; the context </w:t>
      </w:r>
      <w:r w:rsidR="000E201E">
        <w:t>solidifies it.</w:t>
      </w:r>
    </w:p>
    <w:p w14:paraId="183E9CB1" w14:textId="0C4ED2A7" w:rsidR="000A1296" w:rsidRDefault="000E201E" w:rsidP="00804E0F">
      <w:pPr>
        <w:ind w:firstLine="720"/>
      </w:pPr>
      <w:r>
        <w:t xml:space="preserve">While the commenters have proposed a range of original ideas for a potential equivalency standard, the Postal Service finds no occasion to </w:t>
      </w:r>
      <w:r w:rsidR="004655C2">
        <w:t xml:space="preserve">consider application of such a standard here, where Congress’s intent to exclude ENDS products </w:t>
      </w:r>
      <w:r w:rsidR="00F91783">
        <w:t xml:space="preserve">from the exception </w:t>
      </w:r>
      <w:r w:rsidR="004655C2">
        <w:t xml:space="preserve">is clear. </w:t>
      </w:r>
      <w:r w:rsidR="00FB7B6F">
        <w:t xml:space="preserve">That </w:t>
      </w:r>
      <w:r w:rsidR="00AA6256">
        <w:t xml:space="preserve">decision is buttressed by the fact that no proposed equivalency standard </w:t>
      </w:r>
      <w:r w:rsidR="00C264CD">
        <w:t xml:space="preserve">is </w:t>
      </w:r>
      <w:r w:rsidR="00F91783">
        <w:t xml:space="preserve">self-evident or </w:t>
      </w:r>
      <w:r w:rsidR="00C264CD">
        <w:t>compelling.</w:t>
      </w:r>
    </w:p>
    <w:p w14:paraId="0C14AA89" w14:textId="77777777" w:rsidR="007C317F" w:rsidRDefault="00817D45" w:rsidP="00804E0F">
      <w:pPr>
        <w:ind w:firstLine="720"/>
      </w:pPr>
      <w:r>
        <w:t xml:space="preserve">Proposals focused on the exterior of the package, rather than its contents, </w:t>
      </w:r>
      <w:r w:rsidR="00604E25">
        <w:t>would impose virtually no limit on the amount or type of ENDS products sent in an ostensible consumer testing shipment</w:t>
      </w:r>
      <w:r w:rsidR="000A1296">
        <w:t xml:space="preserve">. This </w:t>
      </w:r>
      <w:r w:rsidR="007C317F">
        <w:t xml:space="preserve">unfettered latitude is far from </w:t>
      </w:r>
      <w:r w:rsidR="00604E25">
        <w:t xml:space="preserve">Congress’s </w:t>
      </w:r>
      <w:r w:rsidR="00287EB6">
        <w:t xml:space="preserve">design </w:t>
      </w:r>
      <w:r w:rsidR="00604E25">
        <w:t xml:space="preserve">of limiting the quantity </w:t>
      </w:r>
      <w:r w:rsidR="00287EB6">
        <w:t xml:space="preserve">of product </w:t>
      </w:r>
      <w:r w:rsidR="00287EB6">
        <w:rPr>
          <w:u w:val="single"/>
        </w:rPr>
        <w:t>within</w:t>
      </w:r>
      <w:r w:rsidR="00287EB6">
        <w:t xml:space="preserve"> a package.</w:t>
      </w:r>
    </w:p>
    <w:p w14:paraId="76FA69D4" w14:textId="3EB25522" w:rsidR="00A3252F" w:rsidRPr="00287EB6" w:rsidRDefault="00287EB6" w:rsidP="00804E0F">
      <w:pPr>
        <w:ind w:firstLine="720"/>
      </w:pPr>
      <w:r>
        <w:t>Proposals focused on the a</w:t>
      </w:r>
      <w:r w:rsidR="00073EEA">
        <w:t xml:space="preserve">mount of nicotine fail to account for the </w:t>
      </w:r>
      <w:r w:rsidR="006121BC">
        <w:t xml:space="preserve">multiple layers of variability that complicate such an exercise: </w:t>
      </w:r>
      <w:r w:rsidR="006B3590">
        <w:t xml:space="preserve">the range of </w:t>
      </w:r>
      <w:r w:rsidR="00073EEA">
        <w:t xml:space="preserve">nicotine content among </w:t>
      </w:r>
      <w:r w:rsidR="00DF3026">
        <w:t>combustible cigarettes</w:t>
      </w:r>
      <w:r w:rsidR="006B3590">
        <w:t>,</w:t>
      </w:r>
      <w:r w:rsidR="00E272E0">
        <w:rPr>
          <w:rStyle w:val="FootnoteReference"/>
        </w:rPr>
        <w:footnoteReference w:id="31"/>
      </w:r>
      <w:r w:rsidR="006B3590">
        <w:t xml:space="preserve"> the range of nicotine delivered </w:t>
      </w:r>
      <w:r w:rsidR="006B3590">
        <w:lastRenderedPageBreak/>
        <w:t>to smoker</w:t>
      </w:r>
      <w:r w:rsidR="00791753">
        <w:t>s</w:t>
      </w:r>
      <w:r w:rsidR="00E272E0">
        <w:rPr>
          <w:rStyle w:val="FootnoteReference"/>
        </w:rPr>
        <w:footnoteReference w:id="32"/>
      </w:r>
      <w:r w:rsidR="00791753">
        <w:t xml:space="preserve"> and users of nicotine-related ENDS products</w:t>
      </w:r>
      <w:r w:rsidR="003A409E">
        <w:t>,</w:t>
      </w:r>
      <w:r w:rsidR="0024077C">
        <w:rPr>
          <w:rStyle w:val="FootnoteReference"/>
        </w:rPr>
        <w:footnoteReference w:id="33"/>
      </w:r>
      <w:r w:rsidR="003A409E">
        <w:t xml:space="preserve"> and</w:t>
      </w:r>
      <w:r w:rsidR="006B3590">
        <w:t xml:space="preserve"> the range of nicotine contained</w:t>
      </w:r>
      <w:r w:rsidR="003A409E">
        <w:t xml:space="preserve"> in</w:t>
      </w:r>
      <w:r w:rsidR="00DF3026">
        <w:t xml:space="preserve"> ENDS products, which may contain </w:t>
      </w:r>
      <w:r w:rsidR="002A5EF7">
        <w:t xml:space="preserve">as little as zero </w:t>
      </w:r>
      <w:r w:rsidR="00DF3026">
        <w:t>nicotine or be used with a limitless quantity of nicotine-containing solution</w:t>
      </w:r>
      <w:r w:rsidR="00E91A12">
        <w:t>, and which may vary even within the same brand and batch</w:t>
      </w:r>
      <w:r w:rsidR="00DF3026">
        <w:t>.</w:t>
      </w:r>
      <w:r w:rsidR="00E91A12">
        <w:rPr>
          <w:rStyle w:val="FootnoteReference"/>
        </w:rPr>
        <w:footnoteReference w:id="34"/>
      </w:r>
      <w:r w:rsidR="00AB64B2">
        <w:t xml:space="preserve"> </w:t>
      </w:r>
      <w:r w:rsidR="00E91CFE">
        <w:t>The difficulties in c</w:t>
      </w:r>
      <w:r w:rsidR="00BF0F68">
        <w:t xml:space="preserve">omparability </w:t>
      </w:r>
      <w:r w:rsidR="00E91CFE">
        <w:t xml:space="preserve">are </w:t>
      </w:r>
      <w:r w:rsidR="00BF0F68">
        <w:t xml:space="preserve">further compounded </w:t>
      </w:r>
      <w:r w:rsidR="00320A30">
        <w:t>when considering how to equate combustible cigarettes with ENDS products related to non-nicotine substances, such as CBD.</w:t>
      </w:r>
      <w:r w:rsidR="00DF3026">
        <w:rPr>
          <w:rStyle w:val="FootnoteReference"/>
        </w:rPr>
        <w:footnoteReference w:id="35"/>
      </w:r>
      <w:r w:rsidR="004E0609">
        <w:t xml:space="preserve"> And the </w:t>
      </w:r>
      <w:r w:rsidR="004E0609">
        <w:lastRenderedPageBreak/>
        <w:t>ranges of variation in</w:t>
      </w:r>
      <w:r w:rsidR="003E7882">
        <w:t xml:space="preserve">crease </w:t>
      </w:r>
      <w:r w:rsidR="00573BF1">
        <w:t xml:space="preserve">still further </w:t>
      </w:r>
      <w:r w:rsidR="003E7882">
        <w:t>when scaled up from a single cigarette to 240.</w:t>
      </w:r>
      <w:r w:rsidR="00783413">
        <w:t xml:space="preserve"> Thus, </w:t>
      </w:r>
      <w:r w:rsidR="005A45D3">
        <w:t xml:space="preserve">it does not appear that an equivalency standard can be </w:t>
      </w:r>
      <w:proofErr w:type="gramStart"/>
      <w:r w:rsidR="00F91783">
        <w:t xml:space="preserve">readily  </w:t>
      </w:r>
      <w:r w:rsidR="005A45D3">
        <w:t>devised</w:t>
      </w:r>
      <w:proofErr w:type="gramEnd"/>
      <w:r w:rsidR="005A45D3">
        <w:t xml:space="preserve"> to reliably </w:t>
      </w:r>
      <w:r w:rsidR="00D46C48">
        <w:t xml:space="preserve">translate 240 cigarettes into some comparable number of ENDS products. The apparent impossibility of </w:t>
      </w:r>
      <w:r w:rsidR="009F0875">
        <w:t xml:space="preserve">shoehorning ENDS products into the 240-cigarette limit underscores the </w:t>
      </w:r>
      <w:r w:rsidR="002C763D">
        <w:t>conclusion</w:t>
      </w:r>
      <w:r w:rsidR="00737E24">
        <w:t>—</w:t>
      </w:r>
      <w:r w:rsidR="002C763D">
        <w:t>already apparent from other conditions of the Consumer Testing exception</w:t>
      </w:r>
      <w:r w:rsidR="00737E24">
        <w:t>—</w:t>
      </w:r>
      <w:r w:rsidR="002C763D">
        <w:t>that Congress intended this exception to be available only for combustible cigarettes and not for ENDS.</w:t>
      </w:r>
    </w:p>
    <w:p w14:paraId="633B0820" w14:textId="5F8B739E" w:rsidR="00071D61" w:rsidRPr="00BB2DDB" w:rsidRDefault="00071D61" w:rsidP="00804E0F">
      <w:pPr>
        <w:ind w:firstLine="720"/>
      </w:pPr>
      <w:r>
        <w:t xml:space="preserve">For these reasons, the Postal Service concludes that the </w:t>
      </w:r>
      <w:r w:rsidR="00E234A6">
        <w:t xml:space="preserve">PACT Act does not make the </w:t>
      </w:r>
      <w:r>
        <w:t xml:space="preserve">Consumer Testing exception </w:t>
      </w:r>
      <w:r w:rsidR="00E234A6">
        <w:t xml:space="preserve">available for </w:t>
      </w:r>
      <w:r>
        <w:t>ENDS products.</w:t>
      </w:r>
      <w:r w:rsidR="00631123">
        <w:t xml:space="preserve"> </w:t>
      </w:r>
      <w:r w:rsidR="0063323F">
        <w:t xml:space="preserve">It should be noted that the </w:t>
      </w:r>
      <w:r w:rsidR="007B18DB" w:rsidRPr="007B18DB">
        <w:rPr>
          <w:rFonts w:cs="Arial"/>
          <w:bCs/>
        </w:rPr>
        <w:t>Intra-Alaska</w:t>
      </w:r>
      <w:r w:rsidR="007B18DB">
        <w:rPr>
          <w:rFonts w:cs="Arial"/>
          <w:bCs/>
        </w:rPr>
        <w:t>/</w:t>
      </w:r>
      <w:r w:rsidR="007B18DB" w:rsidRPr="007B18DB">
        <w:rPr>
          <w:rFonts w:cs="Arial"/>
          <w:bCs/>
        </w:rPr>
        <w:t>Intra-Hawaii</w:t>
      </w:r>
      <w:r w:rsidR="007B18DB">
        <w:rPr>
          <w:rFonts w:cs="Arial"/>
          <w:bCs/>
        </w:rPr>
        <w:t xml:space="preserve"> </w:t>
      </w:r>
      <w:r w:rsidR="0063323F">
        <w:t>exception would permit the mailing of ENDS products for</w:t>
      </w:r>
      <w:r w:rsidR="005B7747">
        <w:t xml:space="preserve"> any purpose, including</w:t>
      </w:r>
      <w:r w:rsidR="0063323F">
        <w:t xml:space="preserve"> consumer testing, </w:t>
      </w:r>
      <w:r w:rsidR="005B7747">
        <w:t>with the only restriction being</w:t>
      </w:r>
      <w:r w:rsidR="003E7719">
        <w:t xml:space="preserve"> that the mailing </w:t>
      </w:r>
      <w:proofErr w:type="gramStart"/>
      <w:r w:rsidR="003E7719">
        <w:t>occur</w:t>
      </w:r>
      <w:proofErr w:type="gramEnd"/>
      <w:r w:rsidR="003E7719">
        <w:t xml:space="preserve"> entirely within Alaska or Hawaii. Otherwise, </w:t>
      </w:r>
      <w:r w:rsidR="00D21BCF">
        <w:t xml:space="preserve">barring further legislative change, </w:t>
      </w:r>
      <w:r w:rsidR="003E7719">
        <w:t xml:space="preserve">such activities must employ </w:t>
      </w:r>
      <w:r w:rsidR="00D21BCF">
        <w:t>transportation and delivery methods that do not involve the mails.</w:t>
      </w:r>
    </w:p>
    <w:p w14:paraId="6C7D55B5" w14:textId="2A34CA73" w:rsidR="00C474F5" w:rsidRPr="006F5D98" w:rsidRDefault="008708FA" w:rsidP="00FE6779">
      <w:pPr>
        <w:ind w:left="1440"/>
        <w:rPr>
          <w:bCs/>
        </w:rPr>
      </w:pPr>
      <w:r w:rsidRPr="00FE6779">
        <w:rPr>
          <w:b/>
          <w:bCs/>
        </w:rPr>
        <w:t>2.</w:t>
      </w:r>
      <w:r w:rsidRPr="00FE6779">
        <w:rPr>
          <w:b/>
          <w:bCs/>
        </w:rPr>
        <w:tab/>
      </w:r>
      <w:bookmarkStart w:id="43" w:name="_Toc79569827"/>
      <w:r w:rsidR="00C474F5" w:rsidRPr="00FE6779">
        <w:rPr>
          <w:b/>
          <w:bCs/>
        </w:rPr>
        <w:t>Testing by Federal Agencies</w:t>
      </w:r>
      <w:bookmarkEnd w:id="43"/>
    </w:p>
    <w:p w14:paraId="1F4DF049" w14:textId="43B488D0" w:rsidR="00C474F5" w:rsidRDefault="00765CCB" w:rsidP="00E60693">
      <w:pPr>
        <w:ind w:firstLine="720"/>
      </w:pPr>
      <w:r>
        <w:t xml:space="preserve">Two </w:t>
      </w:r>
      <w:r w:rsidR="00687608">
        <w:t xml:space="preserve">of the public-health organizations that opposed </w:t>
      </w:r>
      <w:r w:rsidR="00680469">
        <w:t xml:space="preserve">allowing the Consumer Testing exception for ENDS products nonetheless favored allowing the Public Health exception. </w:t>
      </w:r>
      <w:r w:rsidR="006770FE">
        <w:t xml:space="preserve">One such commenter </w:t>
      </w:r>
      <w:r w:rsidR="006F21C7">
        <w:t>analogized the situation to the restriction</w:t>
      </w:r>
      <w:r w:rsidR="0073044E">
        <w:t>s</w:t>
      </w:r>
      <w:r w:rsidR="006F21C7">
        <w:t xml:space="preserve"> on mailing dangerous goods</w:t>
      </w:r>
      <w:r w:rsidR="0073044E">
        <w:t>, which contain exceptions for scientific-use mailings</w:t>
      </w:r>
      <w:r w:rsidR="00D254F9">
        <w:t>,</w:t>
      </w:r>
      <w:r w:rsidR="0073044E">
        <w:t xml:space="preserve"> </w:t>
      </w:r>
      <w:r w:rsidR="00D254F9" w:rsidRPr="00AF27CF">
        <w:t>s</w:t>
      </w:r>
      <w:r w:rsidR="0073044E" w:rsidRPr="00AF27CF">
        <w:t>ee</w:t>
      </w:r>
      <w:r w:rsidR="0073044E">
        <w:t xml:space="preserve"> 18 U.S.C. 1716(c), (e)</w:t>
      </w:r>
      <w:r w:rsidR="00D254F9">
        <w:t xml:space="preserve">, and suggested that the Postal Service </w:t>
      </w:r>
      <w:r w:rsidR="00B75BE0">
        <w:t xml:space="preserve">make the exception available only upon agreement with the relevant Federal </w:t>
      </w:r>
      <w:r w:rsidR="00B75BE0">
        <w:lastRenderedPageBreak/>
        <w:t xml:space="preserve">agency. Federal agency partners with which the Postal Service consulted also expressed an interest </w:t>
      </w:r>
      <w:r w:rsidR="00542834">
        <w:t xml:space="preserve">in making the Public Health exception available for ENDS products, </w:t>
      </w:r>
      <w:proofErr w:type="gramStart"/>
      <w:r w:rsidR="00542834">
        <w:t>in order for</w:t>
      </w:r>
      <w:proofErr w:type="gramEnd"/>
      <w:r w:rsidR="00542834">
        <w:t xml:space="preserve"> them to carry out testing activities that they consider necessary for effective regulation. </w:t>
      </w:r>
      <w:r w:rsidR="003B28D4">
        <w:t xml:space="preserve">Law-student commenters asserted that Congress </w:t>
      </w:r>
      <w:r w:rsidR="00FE1A79">
        <w:t>likely intended to permit continued Federal testing of ENDS products for public-health regulation</w:t>
      </w:r>
      <w:r w:rsidR="003C5D75">
        <w:t xml:space="preserve">, which one such commenter submitted is unlikely to contribute materially to youth-access and other </w:t>
      </w:r>
      <w:r w:rsidR="003A0FCE">
        <w:t xml:space="preserve">policy </w:t>
      </w:r>
      <w:r w:rsidR="003C5D75">
        <w:t>concerns that motivated the POSECCA and the PACT Act</w:t>
      </w:r>
      <w:r w:rsidR="00FE1A79">
        <w:t>.</w:t>
      </w:r>
      <w:r w:rsidR="00FE56F6">
        <w:t xml:space="preserve"> Although ENDS industry commenters did not express views specifically about the Public Health exception, the linkage between the Public Health and Consumer Testing exceptions</w:t>
      </w:r>
      <w:r w:rsidR="00C44212">
        <w:t xml:space="preserve"> suggests that </w:t>
      </w:r>
      <w:r w:rsidR="00675352">
        <w:t xml:space="preserve">such commenters’ views on the availability of the Consumer Testing exception </w:t>
      </w:r>
      <w:r w:rsidR="003A0FCE">
        <w:t>w</w:t>
      </w:r>
      <w:r w:rsidR="00675352">
        <w:t>ould likewise carry over to the Public Health exception.</w:t>
      </w:r>
    </w:p>
    <w:p w14:paraId="7A84AF94" w14:textId="0FA629F1" w:rsidR="00B75BE0" w:rsidRDefault="00A825EC" w:rsidP="00E60693">
      <w:pPr>
        <w:ind w:firstLine="720"/>
      </w:pPr>
      <w:r>
        <w:t xml:space="preserve">The Postal Service reiterates that it must be guided by the </w:t>
      </w:r>
      <w:r w:rsidR="00371D34">
        <w:t xml:space="preserve">parameters and policy decisions expressed in the statute; Congress did not </w:t>
      </w:r>
      <w:r w:rsidR="000A2594">
        <w:t xml:space="preserve">authorize </w:t>
      </w:r>
      <w:r w:rsidR="00371D34">
        <w:t xml:space="preserve">the Postal Service </w:t>
      </w:r>
      <w:r w:rsidR="000A2594">
        <w:t xml:space="preserve">to make its own policy decisions about whether any exception, including the Public Health exception, </w:t>
      </w:r>
      <w:r w:rsidR="0070153C">
        <w:t>ought to</w:t>
      </w:r>
      <w:r w:rsidR="000A2594">
        <w:t xml:space="preserve"> be extended to ENDS products.</w:t>
      </w:r>
      <w:r w:rsidR="00CA3824">
        <w:t xml:space="preserve"> </w:t>
      </w:r>
      <w:r w:rsidR="00BD61B0">
        <w:t xml:space="preserve">Particularly given that lack of policy discretion, </w:t>
      </w:r>
      <w:r w:rsidR="00CA3824">
        <w:t xml:space="preserve">the Postal Service </w:t>
      </w:r>
      <w:r w:rsidR="00F26366">
        <w:t xml:space="preserve">is </w:t>
      </w:r>
      <w:r w:rsidR="00BD61B0">
        <w:t xml:space="preserve">not </w:t>
      </w:r>
      <w:r w:rsidR="00CA3824">
        <w:t xml:space="preserve">at liberty to speculate about what Congress </w:t>
      </w:r>
      <w:r w:rsidR="006747E9">
        <w:t xml:space="preserve">might have intended regarding </w:t>
      </w:r>
      <w:r w:rsidR="00EC6F95">
        <w:t xml:space="preserve">public-health testing </w:t>
      </w:r>
      <w:r w:rsidR="00023B62">
        <w:t xml:space="preserve">of ENDS products </w:t>
      </w:r>
      <w:r w:rsidR="00EC6F95">
        <w:t>by Federal regulatory agencies</w:t>
      </w:r>
      <w:r w:rsidR="00023B62">
        <w:t>, in the absence of any statutory language or legislative history clearly addressing the question.</w:t>
      </w:r>
      <w:r w:rsidR="0070153C">
        <w:t xml:space="preserve"> </w:t>
      </w:r>
    </w:p>
    <w:p w14:paraId="473A646B" w14:textId="77777777" w:rsidR="00404B14" w:rsidRDefault="00F43898" w:rsidP="00E60693">
      <w:pPr>
        <w:ind w:firstLine="720"/>
      </w:pPr>
      <w:r>
        <w:t xml:space="preserve">Like the Consumer Testing exception, the statutory language establishing the Public Health exception, which Congress </w:t>
      </w:r>
      <w:r w:rsidR="00E371A5">
        <w:t xml:space="preserve">likewise </w:t>
      </w:r>
      <w:r>
        <w:t xml:space="preserve">did not amend in the </w:t>
      </w:r>
      <w:r>
        <w:lastRenderedPageBreak/>
        <w:t>POSECCA, makes clear that the exception applies only to combustible cigarettes and not to ENDS products.</w:t>
      </w:r>
    </w:p>
    <w:p w14:paraId="7E0CB1F3" w14:textId="0D5D79D2" w:rsidR="00023B62" w:rsidRDefault="00404B14" w:rsidP="00E60693">
      <w:pPr>
        <w:ind w:firstLine="720"/>
      </w:pPr>
      <w:r>
        <w:t>First, t</w:t>
      </w:r>
      <w:r w:rsidR="009E2B4D">
        <w:t xml:space="preserve">he Public Health exception </w:t>
      </w:r>
      <w:r w:rsidR="0056567A">
        <w:t xml:space="preserve">repeatedly uses the term “consumer testing,” </w:t>
      </w:r>
      <w:r w:rsidR="002C1CAB">
        <w:t xml:space="preserve">a defined term restricted to testing involving </w:t>
      </w:r>
      <w:r w:rsidR="00C816EA">
        <w:t xml:space="preserve">“smokers.” 18 U.S.C. 1716(b)(5)(D)(ii), (b)(6). </w:t>
      </w:r>
      <w:r>
        <w:t xml:space="preserve">As discussed in the preceding section, </w:t>
      </w:r>
      <w:r w:rsidR="00B67966">
        <w:t xml:space="preserve">the plain meaning of </w:t>
      </w:r>
      <w:r w:rsidR="00A44EDC">
        <w:t xml:space="preserve">“smoker” </w:t>
      </w:r>
      <w:r w:rsidR="00B67966">
        <w:t>indicates that the context is combustible cigarettes, not ENDS products.</w:t>
      </w:r>
    </w:p>
    <w:p w14:paraId="6C19D4FF" w14:textId="672312FB" w:rsidR="00B67966" w:rsidRDefault="00B67966" w:rsidP="00E60693">
      <w:pPr>
        <w:ind w:firstLine="720"/>
      </w:pPr>
      <w:r>
        <w:t xml:space="preserve">Second, </w:t>
      </w:r>
      <w:r w:rsidR="00A44EDC">
        <w:t xml:space="preserve">the Public Health exception allows Federal agencies to </w:t>
      </w:r>
      <w:r w:rsidR="00D17C48">
        <w:t xml:space="preserve">“mail cigarettes under </w:t>
      </w:r>
      <w:r w:rsidR="00CB2936">
        <w:t xml:space="preserve">most of </w:t>
      </w:r>
      <w:r w:rsidR="00D17C48">
        <w:t xml:space="preserve">the same requirements, restrictions, and rules and procedures that apply to consumer testing mailings of cigarettes by manufacturers under” the Consumer Testing exception. </w:t>
      </w:r>
      <w:r w:rsidR="00D17C48">
        <w:rPr>
          <w:i/>
          <w:iCs/>
        </w:rPr>
        <w:t>Id.</w:t>
      </w:r>
      <w:r w:rsidR="00D17C48">
        <w:t xml:space="preserve"> at (b)(6).</w:t>
      </w:r>
      <w:r w:rsidR="00123FE7">
        <w:rPr>
          <w:rStyle w:val="FootnoteReference"/>
        </w:rPr>
        <w:footnoteReference w:id="36"/>
      </w:r>
      <w:r w:rsidR="00D17C48">
        <w:t xml:space="preserve"> </w:t>
      </w:r>
      <w:r w:rsidR="00123FE7">
        <w:t xml:space="preserve">Among those applicable requirements is </w:t>
      </w:r>
      <w:r w:rsidR="00F115CF">
        <w:t>that the entity mailing any shipments verify “that the recipient is an adult established smoker”</w:t>
      </w:r>
      <w:r w:rsidR="00AE74C2">
        <w:t>:</w:t>
      </w:r>
      <w:r w:rsidR="00465B31">
        <w:t xml:space="preserve"> a term that, again, indicates </w:t>
      </w:r>
      <w:r w:rsidR="00855F00">
        <w:t>application only to combustible cigarettes and not to ENDS products.</w:t>
      </w:r>
      <w:r w:rsidR="00F115CF">
        <w:t xml:space="preserve"> </w:t>
      </w:r>
      <w:r w:rsidR="00F115CF">
        <w:rPr>
          <w:i/>
          <w:iCs/>
        </w:rPr>
        <w:t>Id.</w:t>
      </w:r>
      <w:r w:rsidR="00F115CF">
        <w:t xml:space="preserve"> at (b)(5)(</w:t>
      </w:r>
      <w:r w:rsidR="00465B31">
        <w:t>C)(ii)(</w:t>
      </w:r>
      <w:proofErr w:type="gramStart"/>
      <w:r w:rsidR="00465B31">
        <w:t>II)(</w:t>
      </w:r>
      <w:proofErr w:type="gramEnd"/>
      <w:r w:rsidR="00465B31">
        <w:t>aa).</w:t>
      </w:r>
    </w:p>
    <w:p w14:paraId="1571EF2B" w14:textId="4720F88F" w:rsidR="00320925" w:rsidRDefault="00320925" w:rsidP="00E60693">
      <w:pPr>
        <w:ind w:firstLine="720"/>
      </w:pPr>
      <w:r>
        <w:t xml:space="preserve">Third, the quantity limit discussed in the preceding section also </w:t>
      </w:r>
      <w:r w:rsidR="009078A1">
        <w:t xml:space="preserve">governs </w:t>
      </w:r>
      <w:r>
        <w:t xml:space="preserve">the Public Health exception in the same manner as </w:t>
      </w:r>
      <w:r w:rsidR="009078A1">
        <w:t xml:space="preserve">the Consumer Testing exception. As discussed in the preceding section, the quantity limit reinforces the conclusion that only combustible cigarettes, and not ENDS products, are </w:t>
      </w:r>
      <w:r w:rsidR="009F2476">
        <w:t>amenable to these exceptions.</w:t>
      </w:r>
    </w:p>
    <w:p w14:paraId="56EC5645" w14:textId="03DF6804" w:rsidR="009F2476" w:rsidRDefault="005D7D97" w:rsidP="00E60693">
      <w:pPr>
        <w:ind w:firstLine="720"/>
      </w:pPr>
      <w:r>
        <w:lastRenderedPageBreak/>
        <w:t xml:space="preserve">Given these clear indications of Congressional intent and the Postal Service’s general lack of statutory authority over the scope of PACT Act exceptions, </w:t>
      </w:r>
      <w:r w:rsidR="00DE77CB">
        <w:t xml:space="preserve">the Postal Service finds no basis to </w:t>
      </w:r>
      <w:r w:rsidR="004675B5">
        <w:t xml:space="preserve">treat </w:t>
      </w:r>
      <w:r w:rsidR="00DE77CB">
        <w:t xml:space="preserve">the two exceptions </w:t>
      </w:r>
      <w:r w:rsidR="004675B5">
        <w:t xml:space="preserve">as differing in scope due to </w:t>
      </w:r>
      <w:r w:rsidR="00DE77CB">
        <w:t xml:space="preserve">policy </w:t>
      </w:r>
      <w:r w:rsidR="004675B5">
        <w:t>reasons</w:t>
      </w:r>
      <w:r w:rsidR="00A67BC5">
        <w:t xml:space="preserve"> that were not expressed by Congress</w:t>
      </w:r>
      <w:r w:rsidR="00DE77CB">
        <w:t>.</w:t>
      </w:r>
      <w:r w:rsidR="00A41FEB">
        <w:rPr>
          <w:rStyle w:val="FootnoteReference"/>
        </w:rPr>
        <w:footnoteReference w:id="37"/>
      </w:r>
      <w:r w:rsidR="004675B5">
        <w:t xml:space="preserve"> </w:t>
      </w:r>
      <w:r w:rsidR="007A5E93">
        <w:t>It may be that Federal regulatory agencies</w:t>
      </w:r>
      <w:r w:rsidR="0055759D">
        <w:t>, like manufacturers, will continue to conduct consumer testing without using the mails,</w:t>
      </w:r>
      <w:r w:rsidR="004868A0">
        <w:t xml:space="preserve"> or via use of the mails </w:t>
      </w:r>
      <w:r w:rsidR="007C723E">
        <w:t xml:space="preserve">only within Alaska and Hawaii (as permitted by the </w:t>
      </w:r>
      <w:r w:rsidR="007B18DB" w:rsidRPr="007B18DB">
        <w:rPr>
          <w:rFonts w:cs="Arial"/>
          <w:bCs/>
        </w:rPr>
        <w:t>Intra-Alaska</w:t>
      </w:r>
      <w:r w:rsidR="007B18DB">
        <w:rPr>
          <w:rFonts w:cs="Arial"/>
          <w:bCs/>
        </w:rPr>
        <w:t>/</w:t>
      </w:r>
      <w:r w:rsidR="007B18DB" w:rsidRPr="007B18DB">
        <w:rPr>
          <w:rFonts w:cs="Arial"/>
          <w:bCs/>
        </w:rPr>
        <w:t>Intra-Hawaii</w:t>
      </w:r>
      <w:r w:rsidR="007B18DB">
        <w:rPr>
          <w:rFonts w:cs="Arial"/>
          <w:bCs/>
        </w:rPr>
        <w:t xml:space="preserve"> </w:t>
      </w:r>
      <w:r w:rsidR="007C723E">
        <w:t>exception).</w:t>
      </w:r>
      <w:r w:rsidR="0055759D">
        <w:t xml:space="preserve"> </w:t>
      </w:r>
      <w:r w:rsidR="007C723E">
        <w:t>To the extent that Federal agencies find those options to be insufficient, then</w:t>
      </w:r>
      <w:r w:rsidR="00ED67BA">
        <w:t xml:space="preserve"> Congress, not the Postal Service, is the appropriate outlet for policy concerns regarding this statutory scheme.</w:t>
      </w:r>
    </w:p>
    <w:p w14:paraId="0C07F591" w14:textId="6BBEBCE1" w:rsidR="00C474F5" w:rsidRPr="006F5D98" w:rsidRDefault="008708FA" w:rsidP="00FE6779">
      <w:pPr>
        <w:ind w:left="1440"/>
        <w:rPr>
          <w:bCs/>
        </w:rPr>
      </w:pPr>
      <w:bookmarkStart w:id="44" w:name="_Toc79569828"/>
      <w:r w:rsidRPr="00FE6779">
        <w:rPr>
          <w:b/>
          <w:bCs/>
        </w:rPr>
        <w:t>3.</w:t>
      </w:r>
      <w:r w:rsidRPr="00FE6779">
        <w:rPr>
          <w:b/>
          <w:bCs/>
        </w:rPr>
        <w:tab/>
      </w:r>
      <w:r w:rsidR="00C474F5" w:rsidRPr="00FE6779">
        <w:rPr>
          <w:b/>
          <w:bCs/>
        </w:rPr>
        <w:t>Testing by Public-Health Researchers</w:t>
      </w:r>
      <w:bookmarkEnd w:id="44"/>
    </w:p>
    <w:p w14:paraId="7BE25CC1" w14:textId="33FB8C00" w:rsidR="00BE4E94" w:rsidRDefault="00E85B00" w:rsidP="00E85B00">
      <w:pPr>
        <w:ind w:firstLine="720"/>
      </w:pPr>
      <w:r>
        <w:t xml:space="preserve">Certain public-health-oriented commenters urged the Postal Service to permit </w:t>
      </w:r>
      <w:r w:rsidR="0072081D">
        <w:t xml:space="preserve">the mailing of ENDS products </w:t>
      </w:r>
      <w:r w:rsidR="001069EA">
        <w:t>from independent researchers or research organizations</w:t>
      </w:r>
      <w:r w:rsidR="004A1B17">
        <w:t>—</w:t>
      </w:r>
      <w:r w:rsidR="001069EA">
        <w:t>not manufacturers or Federal agencies</w:t>
      </w:r>
      <w:r w:rsidR="004A1B17">
        <w:t>—</w:t>
      </w:r>
      <w:r w:rsidR="001069EA">
        <w:t>to individuals for purposes of federally-funded public health research</w:t>
      </w:r>
      <w:r w:rsidR="0072081D">
        <w:t>.</w:t>
      </w:r>
    </w:p>
    <w:p w14:paraId="40CD52BB" w14:textId="2CA61F58" w:rsidR="001069EA" w:rsidRDefault="001069EA" w:rsidP="00E85B00">
      <w:pPr>
        <w:ind w:firstLine="720"/>
      </w:pPr>
      <w:r>
        <w:lastRenderedPageBreak/>
        <w:t xml:space="preserve">As explained in </w:t>
      </w:r>
      <w:r w:rsidR="004641DD">
        <w:t xml:space="preserve">section </w:t>
      </w:r>
      <w:r w:rsidR="004641DD" w:rsidRPr="0022072C">
        <w:t>III.A.1</w:t>
      </w:r>
      <w:r w:rsidR="004641DD">
        <w:t xml:space="preserve">, the Postal Service lacks statutory authority to create new exceptions. Congress provided narrow exceptions for consumer testing only by </w:t>
      </w:r>
      <w:r w:rsidR="00DC6339">
        <w:t xml:space="preserve">manufacturers and Federal agencies, and not by any other entity. </w:t>
      </w:r>
      <w:r w:rsidR="00056C23">
        <w:t xml:space="preserve">Moreover, as explained in the preceding two sections, even those exceptions do not cover ENDS products. </w:t>
      </w:r>
      <w:r w:rsidR="00953A84">
        <w:t>Therefore</w:t>
      </w:r>
      <w:r w:rsidR="00682A6B">
        <w:t xml:space="preserve">, other than mailings entirely within Alaska and Hawaii (as authorized by the </w:t>
      </w:r>
      <w:r w:rsidR="007B18DB" w:rsidRPr="007B18DB">
        <w:rPr>
          <w:rFonts w:cs="Arial"/>
          <w:bCs/>
        </w:rPr>
        <w:t>Intra-Alaska</w:t>
      </w:r>
      <w:r w:rsidR="007B18DB">
        <w:rPr>
          <w:rFonts w:cs="Arial"/>
          <w:bCs/>
        </w:rPr>
        <w:t>/</w:t>
      </w:r>
      <w:r w:rsidR="007B18DB" w:rsidRPr="007B18DB">
        <w:rPr>
          <w:rFonts w:cs="Arial"/>
          <w:bCs/>
        </w:rPr>
        <w:t>Intra-Hawaii</w:t>
      </w:r>
      <w:r w:rsidR="007B18DB">
        <w:rPr>
          <w:rFonts w:cs="Arial"/>
          <w:bCs/>
        </w:rPr>
        <w:t xml:space="preserve"> </w:t>
      </w:r>
      <w:r w:rsidR="00682A6B">
        <w:t>exception)</w:t>
      </w:r>
      <w:r w:rsidR="00953A84">
        <w:t xml:space="preserve">, researchers must find </w:t>
      </w:r>
      <w:r w:rsidR="00B86631">
        <w:t>ways to conduct their consumer testing that do not involve use of the mails. To the extent that a policy case can be made for this use of the mails, that case should be directed to Congress, which has reserved to itself the discretion to modify or augment the PACT Act’s exceptions.</w:t>
      </w:r>
    </w:p>
    <w:p w14:paraId="3E27C30E" w14:textId="6027C589" w:rsidR="00C82FFC" w:rsidRPr="006F5D98" w:rsidRDefault="008708FA" w:rsidP="00FE6779">
      <w:pPr>
        <w:ind w:firstLine="720"/>
        <w:rPr>
          <w:bCs/>
        </w:rPr>
      </w:pPr>
      <w:bookmarkStart w:id="45" w:name="_Toc79569829"/>
      <w:r w:rsidRPr="00FE6779">
        <w:rPr>
          <w:b/>
          <w:bCs/>
        </w:rPr>
        <w:t>J.</w:t>
      </w:r>
      <w:r w:rsidRPr="00FE6779">
        <w:rPr>
          <w:b/>
          <w:bCs/>
        </w:rPr>
        <w:tab/>
      </w:r>
      <w:r w:rsidR="00C82FFC" w:rsidRPr="00FE6779">
        <w:rPr>
          <w:b/>
          <w:bCs/>
        </w:rPr>
        <w:t>Other Issues</w:t>
      </w:r>
      <w:bookmarkEnd w:id="45"/>
    </w:p>
    <w:p w14:paraId="15F413B2" w14:textId="5BD82CCB" w:rsidR="00811314" w:rsidRPr="006F5D98" w:rsidRDefault="008708FA" w:rsidP="00FE6779">
      <w:pPr>
        <w:spacing w:after="240" w:line="240" w:lineRule="auto"/>
        <w:ind w:left="2160" w:hanging="720"/>
        <w:rPr>
          <w:bCs/>
        </w:rPr>
      </w:pPr>
      <w:bookmarkStart w:id="46" w:name="_Toc79569830"/>
      <w:r w:rsidRPr="00FE6779">
        <w:rPr>
          <w:b/>
          <w:bCs/>
        </w:rPr>
        <w:t>1.</w:t>
      </w:r>
      <w:r w:rsidRPr="00FE6779">
        <w:rPr>
          <w:b/>
          <w:bCs/>
        </w:rPr>
        <w:tab/>
      </w:r>
      <w:r w:rsidR="00811314" w:rsidRPr="00FE6779">
        <w:rPr>
          <w:b/>
          <w:bCs/>
        </w:rPr>
        <w:t>International</w:t>
      </w:r>
      <w:r w:rsidR="00CC2A9E">
        <w:rPr>
          <w:b/>
          <w:bCs/>
        </w:rPr>
        <w:t xml:space="preserve">, </w:t>
      </w:r>
      <w:r w:rsidR="00811314" w:rsidRPr="00FE6779">
        <w:rPr>
          <w:b/>
          <w:bCs/>
        </w:rPr>
        <w:t>Military</w:t>
      </w:r>
      <w:r w:rsidR="00CC2A9E">
        <w:rPr>
          <w:b/>
          <w:bCs/>
        </w:rPr>
        <w:t xml:space="preserve">, and </w:t>
      </w:r>
      <w:r w:rsidR="00811314" w:rsidRPr="00FE6779">
        <w:rPr>
          <w:b/>
          <w:bCs/>
        </w:rPr>
        <w:t>Diplomatic Mail</w:t>
      </w:r>
      <w:bookmarkEnd w:id="46"/>
    </w:p>
    <w:p w14:paraId="4FA4408C" w14:textId="7C0D4E27" w:rsidR="00811314" w:rsidRDefault="00811314" w:rsidP="00811314">
      <w:pPr>
        <w:ind w:firstLine="720"/>
      </w:pPr>
      <w:r>
        <w:t xml:space="preserve">Except for the </w:t>
      </w:r>
      <w:r w:rsidR="007B18DB" w:rsidRPr="007B18DB">
        <w:rPr>
          <w:rFonts w:cs="Arial"/>
          <w:bCs/>
        </w:rPr>
        <w:t>Intra-Alaska</w:t>
      </w:r>
      <w:r w:rsidR="007B18DB">
        <w:rPr>
          <w:rFonts w:cs="Arial"/>
          <w:bCs/>
        </w:rPr>
        <w:t>/</w:t>
      </w:r>
      <w:r w:rsidR="007B18DB" w:rsidRPr="007B18DB">
        <w:rPr>
          <w:rFonts w:cs="Arial"/>
          <w:bCs/>
        </w:rPr>
        <w:t>Intra-Hawaii</w:t>
      </w:r>
      <w:r w:rsidR="007B18DB">
        <w:rPr>
          <w:rFonts w:cs="Arial"/>
          <w:bCs/>
        </w:rPr>
        <w:t xml:space="preserve"> </w:t>
      </w:r>
      <w:r>
        <w:t>exception, the PACT Act’s exceptions are not expressly confined to domestic mail. As the Postal Service explained in the 2010 rulemaking concerning PACT Act implementation, however, the complex verification requirements for the PACT Act's exceptions, combined with the strict consequences of any noncompliance, render it impracticable</w:t>
      </w:r>
      <w:r w:rsidR="00895254">
        <w:t>, if not impossible,</w:t>
      </w:r>
      <w:r>
        <w:t xml:space="preserve"> for these requirements to </w:t>
      </w:r>
      <w:r w:rsidR="001C5769">
        <w:t xml:space="preserve">be </w:t>
      </w:r>
      <w:r w:rsidR="00895254">
        <w:t>fulfilled</w:t>
      </w:r>
      <w:r>
        <w:t xml:space="preserve"> </w:t>
      </w:r>
      <w:r w:rsidR="00895254">
        <w:t xml:space="preserve">as </w:t>
      </w:r>
      <w:r>
        <w:t xml:space="preserve">to mail originating or destinating outside of the United States. 75 </w:t>
      </w:r>
      <w:r w:rsidR="007A54C0">
        <w:t>FR</w:t>
      </w:r>
      <w:r>
        <w:t xml:space="preserve"> at 29665; 75</w:t>
      </w:r>
      <w:r w:rsidR="00895254">
        <w:t> </w:t>
      </w:r>
      <w:r w:rsidR="007A54C0">
        <w:t xml:space="preserve">FR </w:t>
      </w:r>
      <w:r>
        <w:t>at 24535. In the notice of proposed rulemaking, the Postal Service proposed to maintain the same approach to the exceptions in the context of ENDS products, except</w:t>
      </w:r>
      <w:r w:rsidR="00895254">
        <w:t xml:space="preserve"> potentially</w:t>
      </w:r>
      <w:r>
        <w:t xml:space="preserve"> with respect to any products that may eventually be covered by the tobacco-cessation/therapeutic exclusion. 86 </w:t>
      </w:r>
      <w:r w:rsidR="007A54C0">
        <w:t>FR</w:t>
      </w:r>
      <w:r>
        <w:t xml:space="preserve"> at 10219.</w:t>
      </w:r>
    </w:p>
    <w:p w14:paraId="6B4D0D21" w14:textId="584AEAE1" w:rsidR="00811314" w:rsidRDefault="00811314" w:rsidP="00811314">
      <w:pPr>
        <w:ind w:firstLine="720"/>
      </w:pPr>
      <w:r>
        <w:lastRenderedPageBreak/>
        <w:t>One group of public-health-oriented commenters applauded the disallowance of exceptions for international mail and the extension of that policy to ENDS products. Contrariwise, one ENDS manufacturer asserted that the policy violates the statute, which</w:t>
      </w:r>
      <w:r w:rsidR="0088187D">
        <w:t xml:space="preserve">, according to the commenter, </w:t>
      </w:r>
      <w:r>
        <w:t>frame</w:t>
      </w:r>
      <w:r w:rsidR="0088187D">
        <w:t>s</w:t>
      </w:r>
      <w:r>
        <w:t xml:space="preserve"> the exceptions in terms that provide an affirmative entitlement to mail without restriction to domestic mail. The commenter noted that the Business/Regulatory Purposes exception expressly encompasses businesses involved in “export” and “import,” </w:t>
      </w:r>
      <w:r w:rsidRPr="00AF27CF">
        <w:t>see</w:t>
      </w:r>
      <w:r>
        <w:t xml:space="preserve"> 18 U.S.C. 1716E(b)(3)(A)(i), and opined that the statutory conditions for each exception can be applied to international as well as domestic mail, without any statutory basis for distinction on the basis of feasibility.</w:t>
      </w:r>
      <w:r w:rsidR="006B19BE">
        <w:t xml:space="preserve"> One Federal agency partner also asked the Postal Service to reconsider the </w:t>
      </w:r>
      <w:r w:rsidR="00D16F79">
        <w:t xml:space="preserve">restriction, in the interest of facilitating </w:t>
      </w:r>
      <w:r w:rsidR="00A73B58">
        <w:t>effective Federal regulation of foreign parties’ tobacco and ENDS products</w:t>
      </w:r>
      <w:r w:rsidR="00230D16">
        <w:t>.</w:t>
      </w:r>
    </w:p>
    <w:p w14:paraId="05FD95C4" w14:textId="637FD32D" w:rsidR="00811314" w:rsidRDefault="00811314" w:rsidP="00811314">
      <w:pPr>
        <w:ind w:firstLine="720"/>
      </w:pPr>
      <w:r>
        <w:t xml:space="preserve">The final rule maintains the approach outlined in the notice of proposed rulemaking. The issue is not whether the statute expressly addresses international mail or whether it expressly provides for feasibility-based discretion. Rather, the statutory exceptions permit mailing only to the extent that the Postal Service </w:t>
      </w:r>
      <w:proofErr w:type="gramStart"/>
      <w:r>
        <w:t>is able to</w:t>
      </w:r>
      <w:proofErr w:type="gramEnd"/>
      <w:r>
        <w:t xml:space="preserve"> verify certain things about the mailer and/or recipient. </w:t>
      </w:r>
      <w:r w:rsidRPr="00AF27CF">
        <w:t>See, e.g.</w:t>
      </w:r>
      <w:r>
        <w:t>,</w:t>
      </w:r>
      <w:r>
        <w:rPr>
          <w:i/>
          <w:iCs/>
        </w:rPr>
        <w:t xml:space="preserve"> id.</w:t>
      </w:r>
      <w:r>
        <w:t xml:space="preserve"> at (b)(3)(B)(ii)(I)</w:t>
      </w:r>
      <w:r w:rsidR="003B1794">
        <w:t>–</w:t>
      </w:r>
      <w:r>
        <w:t>(II), (b)(3)(B)(ii)(VII), (b)(4)(B)(ii)(I)</w:t>
      </w:r>
      <w:r w:rsidR="003B1794">
        <w:t>–</w:t>
      </w:r>
      <w:r>
        <w:t>(II), (b)(4)(B)(ii)(V). In contrast to private-sector delivery carriers’ integrated international networks, the Postal Service does not collect or deliver international mail outside of the United States</w:t>
      </w:r>
      <w:r w:rsidR="00394759">
        <w:t xml:space="preserve"> (other than in the Freely Associated States)</w:t>
      </w:r>
      <w:r>
        <w:t>; it must rely on foreign postal operators and other third-party agents to perform acceptance and delivery</w:t>
      </w:r>
      <w:r w:rsidR="003B1794">
        <w:t xml:space="preserve"> </w:t>
      </w:r>
      <w:r w:rsidR="003B1794">
        <w:lastRenderedPageBreak/>
        <w:t>abroad</w:t>
      </w:r>
      <w:r>
        <w:t xml:space="preserve">. Given the specificity of the statutory verification obligations and their lack of extraterritorial applicability to or </w:t>
      </w:r>
      <w:r w:rsidR="00644B6E">
        <w:t xml:space="preserve">contemplation </w:t>
      </w:r>
      <w:r>
        <w:t>o</w:t>
      </w:r>
      <w:r w:rsidR="00192E59">
        <w:t>f</w:t>
      </w:r>
      <w:r>
        <w:t xml:space="preserve"> foreign postal operators and agents, the Postal Service </w:t>
      </w:r>
      <w:r w:rsidR="00AE4F29">
        <w:t xml:space="preserve">is </w:t>
      </w:r>
      <w:r w:rsidR="00DA3432">
        <w:t xml:space="preserve">unable to fulfill, and is </w:t>
      </w:r>
      <w:r w:rsidR="00AE4F29">
        <w:t xml:space="preserve">not confident in its ability to </w:t>
      </w:r>
      <w:r w:rsidR="00DA3432">
        <w:t xml:space="preserve">ensure reliable fulfillment of, </w:t>
      </w:r>
      <w:r>
        <w:t xml:space="preserve">the verification tasks upon which </w:t>
      </w:r>
      <w:r w:rsidR="007C4F02">
        <w:t xml:space="preserve">these exceptions </w:t>
      </w:r>
      <w:r w:rsidR="007C0ED8">
        <w:t xml:space="preserve">condition </w:t>
      </w:r>
      <w:r>
        <w:t xml:space="preserve">mailability. </w:t>
      </w:r>
      <w:r w:rsidR="000F0446">
        <w:t xml:space="preserve">To the extent that the Postal Service cannot ensure verification, then the statute bars exceptional mailability for the relevant class of </w:t>
      </w:r>
      <w:r w:rsidR="003F40A8">
        <w:t>shipments.</w:t>
      </w:r>
    </w:p>
    <w:p w14:paraId="6C672D88" w14:textId="2FBEF267" w:rsidR="00811314" w:rsidRDefault="00811314" w:rsidP="00811314">
      <w:pPr>
        <w:ind w:firstLine="720"/>
      </w:pPr>
      <w:r>
        <w:t>As the industry commenter observes, the Business/Regulatory Purposes exception is available to legally operating businesses “engaged in tobacco product . . . export</w:t>
      </w:r>
      <w:r w:rsidR="002A31A5">
        <w:t xml:space="preserve"> </w:t>
      </w:r>
      <w:r>
        <w:t xml:space="preserve">[and] import.” </w:t>
      </w:r>
      <w:r>
        <w:rPr>
          <w:i/>
          <w:iCs/>
        </w:rPr>
        <w:t>Id.</w:t>
      </w:r>
      <w:r>
        <w:t xml:space="preserve"> at (b)(3)(A)(i). But </w:t>
      </w:r>
      <w:r w:rsidR="00FF706E">
        <w:t xml:space="preserve">these descriptors are used only to define the class of businesses that may be eligible to mail to other eligible parties under the exception; it does not, by itself, establish entitlement to </w:t>
      </w:r>
      <w:r w:rsidR="00FC6351">
        <w:t xml:space="preserve">use the mails for export and import activities. </w:t>
      </w:r>
      <w:r>
        <w:t xml:space="preserve">Thus, upon fulfilling </w:t>
      </w:r>
      <w:proofErr w:type="gramStart"/>
      <w:r>
        <w:t>all of</w:t>
      </w:r>
      <w:proofErr w:type="gramEnd"/>
      <w:r>
        <w:t xml:space="preserve"> the conditions for the exception, an export business could receive ENDS products from a domestic manufacturer or wholesaler, for example, and an import business could send ENDS products to domestic wholesalers and distributors. To the extent that the Postal Service can verify all required facts about these senders and recipients, their shipments are mailable under the exception. But because the Postal Service cannot conduct the statutorily required verification for overseas parties, the exporter’s exports and importer’s imports cannot themselves qualify</w:t>
      </w:r>
      <w:r w:rsidR="002A7505">
        <w:t xml:space="preserve"> for use of the mails</w:t>
      </w:r>
      <w:r>
        <w:t>. Those legs of the products’ journey must be accomplished through commercial export and import channels, not through the international mail channel.</w:t>
      </w:r>
    </w:p>
    <w:p w14:paraId="7B64E475" w14:textId="4B66228C" w:rsidR="00E81040" w:rsidRDefault="00E81040" w:rsidP="00811314">
      <w:pPr>
        <w:ind w:firstLine="720"/>
      </w:pPr>
      <w:r>
        <w:lastRenderedPageBreak/>
        <w:t xml:space="preserve">In response to the Federal agency partner’s concern </w:t>
      </w:r>
      <w:r w:rsidR="002A7505">
        <w:t xml:space="preserve">regarding </w:t>
      </w:r>
      <w:r>
        <w:t xml:space="preserve">effective regulation, the Postal Service is sympathetic to </w:t>
      </w:r>
      <w:r w:rsidR="005830AA">
        <w:t>this policy interest.</w:t>
      </w:r>
      <w:r w:rsidR="007E5253">
        <w:t xml:space="preserve"> </w:t>
      </w:r>
      <w:r w:rsidR="00E86A43">
        <w:t>Again</w:t>
      </w:r>
      <w:r w:rsidR="002A7505">
        <w:t>, h</w:t>
      </w:r>
      <w:r w:rsidR="007E5253">
        <w:t xml:space="preserve">owever, Congress </w:t>
      </w:r>
      <w:r w:rsidR="00FA2038">
        <w:t xml:space="preserve">has imposed verification conditions for use of the mails that the Postal Service is unable to fulfill </w:t>
      </w:r>
      <w:r w:rsidR="00FB505D">
        <w:t xml:space="preserve">with respect to international shipments. Non-postal delivery channels may be available to </w:t>
      </w:r>
      <w:r w:rsidR="00A83808">
        <w:t>facilitate the transfer of samples and covered items between foreign businesses and U.S. regulators</w:t>
      </w:r>
      <w:r w:rsidR="000F3317">
        <w:t xml:space="preserve">. To the extent that use of the mails would be necessary or expedient to effective regulation, it is for Congress to weigh whether that policy interest warrants </w:t>
      </w:r>
      <w:r w:rsidR="008336A9">
        <w:t>relaxation of the PACT Act’s verification mandates, creation of a new exception, or some other legislative accommodation.</w:t>
      </w:r>
    </w:p>
    <w:p w14:paraId="1A4534B4" w14:textId="4679C19E" w:rsidR="00F32BF4" w:rsidRDefault="00811314" w:rsidP="00561526">
      <w:pPr>
        <w:ind w:firstLine="720"/>
      </w:pPr>
      <w:r>
        <w:t xml:space="preserve">Certain pro-ENDS commenters urged the Postal Service to ensure that ENDS products will be mailable to U.S. military service members overseas on the same terms as cigarettes and smokeless tobacco. As stated in the notice of proposed rulemaking, the PACT Act exceptions </w:t>
      </w:r>
      <w:r w:rsidR="00F32BF4">
        <w:t xml:space="preserve">have long been inapplicable </w:t>
      </w:r>
      <w:r>
        <w:t xml:space="preserve">to “mail </w:t>
      </w:r>
      <w:r w:rsidRPr="00383B04">
        <w:rPr>
          <w:u w:val="single"/>
        </w:rPr>
        <w:t>presented at</w:t>
      </w:r>
      <w:r>
        <w:t xml:space="preserve"> overseas </w:t>
      </w:r>
      <w:r w:rsidR="007B18DB">
        <w:t xml:space="preserve">Army Post Office (APO), Fleet Post Office (FPO), or Diplomatic Post Office (DPO) </w:t>
      </w:r>
      <w:r>
        <w:t xml:space="preserve">locations and destined to addresses in the United States.” 86 </w:t>
      </w:r>
      <w:r w:rsidR="007A54C0">
        <w:t>FR</w:t>
      </w:r>
      <w:r>
        <w:t xml:space="preserve"> at 10219</w:t>
      </w:r>
      <w:r w:rsidR="00383B04">
        <w:t xml:space="preserve"> (emphasis added)</w:t>
      </w:r>
      <w:r>
        <w:t>.</w:t>
      </w:r>
      <w:r w:rsidR="00F32BF4">
        <w:t xml:space="preserve"> This is because these overseas acceptance locations are operated not by the Postal Service, but by the Department of Defense’s Military Postal Service Agency (MPSA) and by the Department of State. Although U.S. postal laws and regulations apply to U.S. mail operations in these locations</w:t>
      </w:r>
      <w:r w:rsidR="001543F0">
        <w:t xml:space="preserve">, it was determined that the </w:t>
      </w:r>
      <w:r w:rsidR="00F32BF4">
        <w:t>acceptance conditions for the PACT Act’s exceptions can</w:t>
      </w:r>
      <w:r w:rsidR="001543F0">
        <w:t>not</w:t>
      </w:r>
      <w:r w:rsidR="00F32BF4">
        <w:t xml:space="preserve"> reliably be fulfilled at these overseas sites.</w:t>
      </w:r>
    </w:p>
    <w:p w14:paraId="37E9D637" w14:textId="0FFEE720" w:rsidR="002A6C25" w:rsidRPr="004C0E30" w:rsidRDefault="00811314" w:rsidP="00BC7C55">
      <w:pPr>
        <w:ind w:firstLine="720"/>
      </w:pPr>
      <w:r>
        <w:lastRenderedPageBreak/>
        <w:t xml:space="preserve"> </w:t>
      </w:r>
      <w:r w:rsidR="00F32BF4">
        <w:t xml:space="preserve">Upon further review and </w:t>
      </w:r>
      <w:r w:rsidR="00414B95">
        <w:t xml:space="preserve">interagency </w:t>
      </w:r>
      <w:r w:rsidR="00F32BF4">
        <w:t xml:space="preserve">consultation, it appears that the same is true for the PACT Act exceptions’ requirements of age, employment, and identity verification at the place of delivery. </w:t>
      </w:r>
      <w:r w:rsidR="00BA5911">
        <w:t xml:space="preserve">See </w:t>
      </w:r>
      <w:r w:rsidR="00F32BF4">
        <w:t>18 U.S.C. 1716E</w:t>
      </w:r>
      <w:r w:rsidR="00BA5911">
        <w:t xml:space="preserve">(b)(3)(B)(ii)(II), (b)(3)(B)(ii)(VII), </w:t>
      </w:r>
      <w:r w:rsidR="00F32BF4">
        <w:t>(b)(4)(B)(ii)(V),</w:t>
      </w:r>
      <w:r w:rsidR="003A4F3A">
        <w:rPr>
          <w:rStyle w:val="FootnoteReference"/>
        </w:rPr>
        <w:footnoteReference w:id="38"/>
      </w:r>
      <w:r w:rsidR="00F32BF4">
        <w:t xml:space="preserve"> </w:t>
      </w:r>
      <w:r w:rsidR="00BA5911">
        <w:t>(b)(5)(C)(ii)(VI)–(VII).</w:t>
      </w:r>
      <w:r w:rsidR="00556ADA">
        <w:t xml:space="preserve"> The postal services that enable fulfillment of </w:t>
      </w:r>
      <w:r w:rsidR="00F32BF4">
        <w:t xml:space="preserve">these </w:t>
      </w:r>
      <w:r w:rsidR="00556ADA">
        <w:t>requirements—Adult Signature Required</w:t>
      </w:r>
      <w:r w:rsidR="00F32BF4">
        <w:t xml:space="preserve"> and</w:t>
      </w:r>
      <w:r w:rsidR="00556ADA">
        <w:t xml:space="preserve"> Adult Signature Restricted Delivery—are not </w:t>
      </w:r>
      <w:r w:rsidR="00F32BF4">
        <w:t xml:space="preserve">currently </w:t>
      </w:r>
      <w:r w:rsidR="00556ADA">
        <w:t>available for items sent to APO/FPO</w:t>
      </w:r>
      <w:r w:rsidR="003A4F3A">
        <w:t>/DPO</w:t>
      </w:r>
      <w:r w:rsidR="00556ADA">
        <w:t xml:space="preserve"> addresses. Because the</w:t>
      </w:r>
      <w:r w:rsidR="00F32BF4">
        <w:t xml:space="preserve"> </w:t>
      </w:r>
      <w:r w:rsidR="00556ADA">
        <w:t xml:space="preserve">verification requirements </w:t>
      </w:r>
      <w:r w:rsidR="00414B95">
        <w:t xml:space="preserve">cannot reliably be fulfilled upon delivery to </w:t>
      </w:r>
      <w:r w:rsidR="00556ADA">
        <w:t>APO/FPO</w:t>
      </w:r>
      <w:r w:rsidR="003A4F3A">
        <w:t>/DPO</w:t>
      </w:r>
      <w:r w:rsidR="00556ADA">
        <w:t xml:space="preserve"> addressees, shipments to such addressees are incompatible with the statutory criteria for the exceptions.</w:t>
      </w:r>
    </w:p>
    <w:p w14:paraId="0B699CB9" w14:textId="3AD1529D" w:rsidR="003D4AB1" w:rsidRPr="000D3A79" w:rsidRDefault="008708FA" w:rsidP="000D3A79">
      <w:pPr>
        <w:ind w:left="720" w:firstLine="720"/>
        <w:rPr>
          <w:b/>
          <w:bCs/>
        </w:rPr>
      </w:pPr>
      <w:bookmarkStart w:id="47" w:name="_Toc79569831"/>
      <w:r w:rsidRPr="000D3A79">
        <w:rPr>
          <w:b/>
          <w:bCs/>
        </w:rPr>
        <w:t>2.</w:t>
      </w:r>
      <w:r w:rsidRPr="000D3A79">
        <w:rPr>
          <w:b/>
          <w:bCs/>
        </w:rPr>
        <w:tab/>
      </w:r>
      <w:r w:rsidR="003D4AB1" w:rsidRPr="000D3A79">
        <w:rPr>
          <w:b/>
          <w:bCs/>
        </w:rPr>
        <w:t>Reasonable Cause</w:t>
      </w:r>
      <w:bookmarkEnd w:id="47"/>
    </w:p>
    <w:p w14:paraId="6DAE2831" w14:textId="49E46E65" w:rsidR="003D4AB1" w:rsidRDefault="003D4AB1" w:rsidP="003D4AB1">
      <w:pPr>
        <w:ind w:firstLine="720"/>
      </w:pPr>
      <w:r>
        <w:t xml:space="preserve">The PACT Act bars the acceptance or transmission of mailed packages as to which the Postal Service “knows or has reasonable cause to believe contains” matter made nonmailable by the PACT Act. 18 U.S.C. 1716E(a)(1). “Reasonable cause” can be based upon certain public statements of intent to mail nonmailable items or the presence of a person on the Noncompliant List. </w:t>
      </w:r>
      <w:r>
        <w:rPr>
          <w:i/>
          <w:iCs/>
        </w:rPr>
        <w:t>Id.</w:t>
      </w:r>
      <w:r>
        <w:t xml:space="preserve"> at (a)(2). Under the Postal Service’s longstanding PACT Act regulations, the presence of reasonable cause imposes on the mailer a burden of establishing eligibility to mail. Publication 52 section 472.1.</w:t>
      </w:r>
    </w:p>
    <w:p w14:paraId="4D48C87A" w14:textId="391334BB" w:rsidR="003D4AB1" w:rsidRDefault="003D4AB1" w:rsidP="003D4AB1">
      <w:pPr>
        <w:ind w:firstLine="720"/>
      </w:pPr>
      <w:r>
        <w:t xml:space="preserve">In the notice of proposed rulemaking, the Postal Service noted that the statute’s use of “includes” </w:t>
      </w:r>
      <w:r w:rsidRPr="00BD3E75">
        <w:t xml:space="preserve">before these enumerations of “reasonable cause” </w:t>
      </w:r>
      <w:r w:rsidRPr="00BD3E75">
        <w:lastRenderedPageBreak/>
        <w:t>plainly indicates that the list is illustrative, rather than exhaustive</w:t>
      </w:r>
      <w:r>
        <w:t xml:space="preserve">, and the Postal Service proposed to make explicit in its regulations the possibility that other indicia regarding a package, individually or in combination with other packages, may give rise to reasonable cause. 86 </w:t>
      </w:r>
      <w:r w:rsidR="007A54C0">
        <w:t>FR</w:t>
      </w:r>
      <w:r>
        <w:t xml:space="preserve"> at 10219. In the highly circumstantial context of ENDS products, the Postal Service further proposed to elaborate on</w:t>
      </w:r>
      <w:r w:rsidR="001903C2">
        <w:t xml:space="preserve"> the</w:t>
      </w:r>
      <w:r>
        <w:t xml:space="preserve"> burden-shifting principle by calling for affirmative, credible, and verifiable indications of mailability </w:t>
      </w:r>
      <w:proofErr w:type="gramStart"/>
      <w:r>
        <w:t>in order to</w:t>
      </w:r>
      <w:proofErr w:type="gramEnd"/>
      <w:r>
        <w:t xml:space="preserve"> dispel the presumed nonmailability of such products. </w:t>
      </w:r>
      <w:r>
        <w:rPr>
          <w:i/>
          <w:iCs/>
        </w:rPr>
        <w:t>Id.</w:t>
      </w:r>
      <w:r>
        <w:t xml:space="preserve"> at 10219–</w:t>
      </w:r>
      <w:r w:rsidR="00D36A1C">
        <w:t>102</w:t>
      </w:r>
      <w:r>
        <w:t>20.</w:t>
      </w:r>
    </w:p>
    <w:p w14:paraId="7C3FC0B7" w14:textId="77777777" w:rsidR="003D4AB1" w:rsidRDefault="003D4AB1" w:rsidP="003D4AB1">
      <w:pPr>
        <w:ind w:firstLine="720"/>
      </w:pPr>
      <w:r>
        <w:t>Some anti-ENDS commenters expressed general support for these changes, and no party expressed opposition. Therefore, the Postal Service adopts the proposed changes in this final rule.</w:t>
      </w:r>
    </w:p>
    <w:p w14:paraId="34D128DD" w14:textId="77777777" w:rsidR="003D4AB1" w:rsidRDefault="003D4AB1" w:rsidP="003D4AB1">
      <w:pPr>
        <w:ind w:firstLine="720"/>
      </w:pPr>
      <w:r>
        <w:t>State and local attorneys general, a public-health organization, and a law student proposed enumerating additional bases for identifying parties whose association with a package may give rise to reasonable cause:</w:t>
      </w:r>
    </w:p>
    <w:p w14:paraId="57196DD7" w14:textId="77777777" w:rsidR="003D4AB1" w:rsidRDefault="003D4AB1" w:rsidP="00D916ED">
      <w:pPr>
        <w:pStyle w:val="ListParagraph"/>
        <w:numPr>
          <w:ilvl w:val="0"/>
          <w:numId w:val="5"/>
        </w:numPr>
      </w:pPr>
      <w:r>
        <w:t xml:space="preserve">Identification of a party in scientific journal articles about ENDS </w:t>
      </w:r>
      <w:proofErr w:type="gramStart"/>
      <w:r>
        <w:t>products;</w:t>
      </w:r>
      <w:proofErr w:type="gramEnd"/>
    </w:p>
    <w:p w14:paraId="0597BCDB" w14:textId="77777777" w:rsidR="003D4AB1" w:rsidRDefault="003D4AB1" w:rsidP="00D916ED">
      <w:pPr>
        <w:pStyle w:val="ListParagraph"/>
        <w:numPr>
          <w:ilvl w:val="0"/>
          <w:numId w:val="5"/>
        </w:numPr>
      </w:pPr>
      <w:r>
        <w:t xml:space="preserve">Involvement of an ENDS manufacturer or distributor in </w:t>
      </w:r>
      <w:proofErr w:type="gramStart"/>
      <w:r>
        <w:t>litigation;</w:t>
      </w:r>
      <w:proofErr w:type="gramEnd"/>
    </w:p>
    <w:p w14:paraId="2934D8AE" w14:textId="77777777" w:rsidR="003D4AB1" w:rsidRDefault="003D4AB1" w:rsidP="00D916ED">
      <w:pPr>
        <w:pStyle w:val="ListParagraph"/>
        <w:numPr>
          <w:ilvl w:val="0"/>
          <w:numId w:val="5"/>
        </w:numPr>
      </w:pPr>
      <w:r>
        <w:t xml:space="preserve">Public statements on social </w:t>
      </w:r>
      <w:proofErr w:type="gramStart"/>
      <w:r>
        <w:t>media;</w:t>
      </w:r>
      <w:proofErr w:type="gramEnd"/>
    </w:p>
    <w:p w14:paraId="6B694ABF" w14:textId="77777777" w:rsidR="003D4AB1" w:rsidRDefault="003D4AB1" w:rsidP="00D916ED">
      <w:pPr>
        <w:pStyle w:val="ListParagraph"/>
        <w:numPr>
          <w:ilvl w:val="0"/>
          <w:numId w:val="5"/>
        </w:numPr>
      </w:pPr>
      <w:r>
        <w:t xml:space="preserve">Other media </w:t>
      </w:r>
      <w:proofErr w:type="gramStart"/>
      <w:r>
        <w:t>sources;</w:t>
      </w:r>
      <w:proofErr w:type="gramEnd"/>
    </w:p>
    <w:p w14:paraId="416582CA" w14:textId="77777777" w:rsidR="003D4AB1" w:rsidRDefault="003D4AB1" w:rsidP="00D916ED">
      <w:pPr>
        <w:pStyle w:val="ListParagraph"/>
        <w:numPr>
          <w:ilvl w:val="0"/>
          <w:numId w:val="5"/>
        </w:numPr>
      </w:pPr>
      <w:r>
        <w:t xml:space="preserve">The presence of markings on a package pursuant to section 2A(b)(1) of the Jenkins </w:t>
      </w:r>
      <w:proofErr w:type="gramStart"/>
      <w:r>
        <w:t>Act;</w:t>
      </w:r>
      <w:proofErr w:type="gramEnd"/>
    </w:p>
    <w:p w14:paraId="6E574D88" w14:textId="77777777" w:rsidR="003D4AB1" w:rsidRDefault="003D4AB1" w:rsidP="00D916ED">
      <w:pPr>
        <w:pStyle w:val="ListParagraph"/>
        <w:numPr>
          <w:ilvl w:val="0"/>
          <w:numId w:val="5"/>
        </w:numPr>
      </w:pPr>
      <w:r>
        <w:t xml:space="preserve">Lists of entities licensed by a State or local government to engage in tobacco or ENDS industry </w:t>
      </w:r>
      <w:proofErr w:type="gramStart"/>
      <w:r>
        <w:t>activities;</w:t>
      </w:r>
      <w:proofErr w:type="gramEnd"/>
    </w:p>
    <w:p w14:paraId="2646458E" w14:textId="35C938B2" w:rsidR="003D4AB1" w:rsidRDefault="003D4AB1" w:rsidP="00D916ED">
      <w:pPr>
        <w:pStyle w:val="ListParagraph"/>
        <w:numPr>
          <w:ilvl w:val="0"/>
          <w:numId w:val="5"/>
        </w:numPr>
      </w:pPr>
      <w:r>
        <w:lastRenderedPageBreak/>
        <w:t xml:space="preserve">The use of a Post Office Box or </w:t>
      </w:r>
      <w:r w:rsidR="00CB250B">
        <w:t>CMRA</w:t>
      </w:r>
      <w:r>
        <w:t>; and</w:t>
      </w:r>
    </w:p>
    <w:p w14:paraId="70E728D5" w14:textId="77777777" w:rsidR="003D4AB1" w:rsidRDefault="003D4AB1" w:rsidP="00D916ED">
      <w:pPr>
        <w:pStyle w:val="ListParagraph"/>
        <w:numPr>
          <w:ilvl w:val="0"/>
          <w:numId w:val="5"/>
        </w:numPr>
      </w:pPr>
      <w:r>
        <w:t>A mailer’s past practice of sending or receiving items made nonmailable under the PACT Act.</w:t>
      </w:r>
    </w:p>
    <w:p w14:paraId="6F1661D2" w14:textId="78D7D03F" w:rsidR="003D4AB1" w:rsidRDefault="003D4AB1" w:rsidP="003D4AB1">
      <w:r>
        <w:t xml:space="preserve">The Postal Service finds it unnecessary to incorporate these suggestions into </w:t>
      </w:r>
      <w:r w:rsidR="00735C2F">
        <w:t>the final</w:t>
      </w:r>
      <w:r>
        <w:t xml:space="preserve"> rules. Statements in social media and other media are covered by 18 U.S.C. 1716E(a)(2)(A) and existing Publication 52 section 472.1(a). Information on a mailpiece (e.g., Jenkins Act markings and address information) would be among the indicia </w:t>
      </w:r>
      <w:proofErr w:type="gramStart"/>
      <w:r>
        <w:t>taken into account</w:t>
      </w:r>
      <w:proofErr w:type="gramEnd"/>
      <w:r>
        <w:t xml:space="preserve"> under </w:t>
      </w:r>
      <w:r w:rsidR="00735C2F">
        <w:t xml:space="preserve">the </w:t>
      </w:r>
      <w:r w:rsidR="006E2A6D">
        <w:t>new provision</w:t>
      </w:r>
      <w:r>
        <w:t xml:space="preserve">. So, too, would a mailer’s past practices, insofar as the new </w:t>
      </w:r>
      <w:r w:rsidR="006E2A6D">
        <w:t>provision</w:t>
      </w:r>
      <w:r>
        <w:t xml:space="preserve"> accounts for information about a mailing “in combination with other packages.”</w:t>
      </w:r>
    </w:p>
    <w:p w14:paraId="48B3AB9A" w14:textId="77777777" w:rsidR="003D4AB1" w:rsidRDefault="003D4AB1" w:rsidP="003D4AB1">
      <w:pPr>
        <w:ind w:firstLine="720"/>
      </w:pPr>
      <w:r>
        <w:t>Because the list of “reasonable cause” indicia in Publication 52 section 472.1 is merely illustrative, the other proposed information sources remain potentially available, even if they are not expressly enumerated. To the extent that any relevant information not only exists at large, but is brought to the actual attention of Postal Service personnel authorized to determine how to interpret and act upon that information, then that awareness may reasonably justify the Postal Service’s treatment of associated mailings as nonmailable, absent contrary information sufficient to dispel reasonable cause.</w:t>
      </w:r>
    </w:p>
    <w:p w14:paraId="2FCB0598" w14:textId="77777777" w:rsidR="003D4AB1" w:rsidRDefault="003D4AB1" w:rsidP="003D4AB1">
      <w:pPr>
        <w:ind w:firstLine="720"/>
      </w:pPr>
      <w:r>
        <w:t xml:space="preserve">One law-student commenter expressed concern that the Noncompliant List may be unreliable, given the purported ease with which listed actors could rebrand or establish a new address. The Postal Service is not responsible for maintaining the Noncompliant List. However, it should be noted that section 2A(e)(1)(C) of the Jenkins Act directs the Attorney General to update and </w:t>
      </w:r>
      <w:r>
        <w:lastRenderedPageBreak/>
        <w:t>distribute the Noncompliant List at least once every four months, and related provisions require the Attorney General to include entities identified by State, local, and Tribal governments and to maintain the accuracy and completeness of the list. Moreover, no provision bars other parties from identifying inaccuracies or suggesting updates to the Attorney General.</w:t>
      </w:r>
    </w:p>
    <w:p w14:paraId="1AA2591C" w14:textId="006A7431" w:rsidR="003D4AB1" w:rsidRDefault="003D4AB1" w:rsidP="003D4AB1">
      <w:pPr>
        <w:ind w:firstLine="720"/>
      </w:pPr>
      <w:r>
        <w:t xml:space="preserve">State and local attorneys general requested a point of contact for non-Postal-Service law-enforcement actors, the industry, and the </w:t>
      </w:r>
      <w:proofErr w:type="gramStart"/>
      <w:r>
        <w:t>general public</w:t>
      </w:r>
      <w:proofErr w:type="gramEnd"/>
      <w:r>
        <w:t xml:space="preserve"> to report suspicious mailing behavior. The Postal Inspection Service (</w:t>
      </w:r>
      <w:hyperlink r:id="rId14" w:history="1">
        <w:r w:rsidR="006F2B33" w:rsidRPr="001E467C">
          <w:rPr>
            <w:rStyle w:val="Hyperlink"/>
          </w:rPr>
          <w:t>https://www.uspis.gov</w:t>
        </w:r>
      </w:hyperlink>
      <w:r>
        <w:t xml:space="preserve">) is the law-enforcement component of the Postal Service, and suspicious mailing behavior </w:t>
      </w:r>
      <w:r w:rsidR="00AF485E">
        <w:t xml:space="preserve">may be reported </w:t>
      </w:r>
      <w:r>
        <w:t xml:space="preserve">through </w:t>
      </w:r>
      <w:r w:rsidR="00AF485E">
        <w:t xml:space="preserve">the Postal Inspection Service </w:t>
      </w:r>
      <w:r>
        <w:t xml:space="preserve">hotline (1-877-876-2455). Mailing addresses for local Postal Inspection Service division offices can be found at </w:t>
      </w:r>
      <w:hyperlink r:id="rId15" w:history="1">
        <w:r w:rsidR="006F2B33" w:rsidRPr="001E467C">
          <w:rPr>
            <w:rStyle w:val="Hyperlink"/>
          </w:rPr>
          <w:t>https://postalpro.usps.com/ppro-tools/inspection-service</w:t>
        </w:r>
      </w:hyperlink>
      <w:r w:rsidR="006F2B33">
        <w:t>.</w:t>
      </w:r>
    </w:p>
    <w:p w14:paraId="6141462F" w14:textId="27B647AB" w:rsidR="003D4AB1" w:rsidRDefault="003D4AB1" w:rsidP="003D4AB1">
      <w:pPr>
        <w:ind w:firstLine="720"/>
      </w:pPr>
      <w:r>
        <w:t xml:space="preserve">One law-student commenter encouraged the Postal Service to ensure that relevant personnel are trained and given up-to-date information about the Noncompliant List and market research on ENDS mailers. The Postal Service has internal processes to communicate such information to relevant personnel, and it will take this comment </w:t>
      </w:r>
      <w:r w:rsidR="004156AB">
        <w:t xml:space="preserve">under </w:t>
      </w:r>
      <w:r>
        <w:t>advisement in administering those internal communications.</w:t>
      </w:r>
    </w:p>
    <w:p w14:paraId="202E7010" w14:textId="77777777" w:rsidR="003D4AB1" w:rsidRDefault="003D4AB1" w:rsidP="003D4AB1">
      <w:pPr>
        <w:ind w:firstLine="720"/>
      </w:pPr>
      <w:r>
        <w:t xml:space="preserve">Another law-student commenter proposed that a suspected ENDS mailer be required to furnish a sworn certification of mailability, punishable by a fine. The Postal Service finds such a measure to be unnecessary. Under the reasonable cause standard, mailability is based on indicia of suspicion—a </w:t>
      </w:r>
      <w:r>
        <w:lastRenderedPageBreak/>
        <w:t>collection of facts indicating for and against mailability—weighed in the administrative and law-enforcement discretion of Postal Service personnel. It is difficult to conceive of why facts tending in one direction should require the submission of paperwork when other facts would not. Moreover, the making of materially false statements or representations to the Postal Service is punishable under 18 U.S.C. 1001, regardless of whether the person has made a sworn declaration or received specific notice of potential punishment. As such, the Postal Service does not perceive any practical benefit that would arise from this suggestion.</w:t>
      </w:r>
    </w:p>
    <w:p w14:paraId="4B0D0E0A" w14:textId="453A9B06" w:rsidR="00C82FFC" w:rsidRPr="000D3A79" w:rsidRDefault="008708FA" w:rsidP="000D3A79">
      <w:pPr>
        <w:ind w:left="720" w:firstLine="720"/>
        <w:rPr>
          <w:b/>
          <w:bCs/>
        </w:rPr>
      </w:pPr>
      <w:bookmarkStart w:id="48" w:name="_Toc79569832"/>
      <w:r w:rsidRPr="000D3A79">
        <w:rPr>
          <w:b/>
          <w:bCs/>
        </w:rPr>
        <w:t>3.</w:t>
      </w:r>
      <w:r w:rsidRPr="000D3A79">
        <w:rPr>
          <w:b/>
          <w:bCs/>
        </w:rPr>
        <w:tab/>
      </w:r>
      <w:r w:rsidR="00D3142C" w:rsidRPr="000D3A79">
        <w:rPr>
          <w:b/>
          <w:bCs/>
        </w:rPr>
        <w:t>Terminology</w:t>
      </w:r>
      <w:bookmarkEnd w:id="48"/>
    </w:p>
    <w:p w14:paraId="1318A705" w14:textId="466CB778" w:rsidR="00C82FFC" w:rsidRDefault="005C535C" w:rsidP="004D6D41">
      <w:pPr>
        <w:ind w:firstLine="720"/>
      </w:pPr>
      <w:r>
        <w:t xml:space="preserve">In the notice of proposed rulemaking, the Postal Service </w:t>
      </w:r>
      <w:r w:rsidR="004D6D41">
        <w:t xml:space="preserve">discussed the semantic difficulties posed by the POSECCA’s technical inclusion of ENDS within the relevant statutory definition of “cigarettes.” 86 </w:t>
      </w:r>
      <w:r w:rsidR="007A54C0">
        <w:t>FR</w:t>
      </w:r>
      <w:r w:rsidR="004D6D41">
        <w:t xml:space="preserve"> </w:t>
      </w:r>
      <w:r w:rsidR="005D1940">
        <w:t>at 10219. While this has a pronounced legal effect</w:t>
      </w:r>
      <w:r w:rsidR="00CA4F9E">
        <w:t>—</w:t>
      </w:r>
      <w:r w:rsidR="0076140D">
        <w:t xml:space="preserve">generally </w:t>
      </w:r>
      <w:r w:rsidR="005D1940">
        <w:t xml:space="preserve">subjecting ENDS to the same legal treatment as </w:t>
      </w:r>
      <w:r w:rsidR="003A5A13">
        <w:t>combustible cigarettes</w:t>
      </w:r>
      <w:r w:rsidR="00CA4F9E">
        <w:t>—</w:t>
      </w:r>
      <w:r w:rsidR="00845163">
        <w:t>there are clear differences in the two types of products,</w:t>
      </w:r>
      <w:r w:rsidR="00C45128">
        <w:t xml:space="preserve"> particularly given the broad scope of POSECCA-covered ENDS products</w:t>
      </w:r>
      <w:r w:rsidR="0076140D">
        <w:t>. Hence</w:t>
      </w:r>
      <w:r w:rsidR="00C45128">
        <w:t>,</w:t>
      </w:r>
      <w:r w:rsidR="00845163">
        <w:t xml:space="preserve"> using the term “cigarette</w:t>
      </w:r>
      <w:r w:rsidR="00C45128">
        <w:t>” in Publication 52</w:t>
      </w:r>
      <w:r w:rsidR="0076140D">
        <w:t xml:space="preserve"> to denote ENDS products as well as combustible </w:t>
      </w:r>
      <w:r w:rsidR="001A35F9">
        <w:t>cigarettes</w:t>
      </w:r>
      <w:r w:rsidR="00C45128">
        <w:t xml:space="preserve"> might not offer sufficient clarity to a lay reader. </w:t>
      </w:r>
      <w:r w:rsidR="0095561F">
        <w:t xml:space="preserve">The Postal Service proposed to use “tobacco products” as a catch-all term to encompass </w:t>
      </w:r>
      <w:r w:rsidR="009E5776">
        <w:t xml:space="preserve">combustible </w:t>
      </w:r>
      <w:r w:rsidR="0095561F">
        <w:t>cigarettes,</w:t>
      </w:r>
      <w:r w:rsidR="004842DF">
        <w:t xml:space="preserve"> </w:t>
      </w:r>
      <w:r w:rsidR="00835BC7">
        <w:t xml:space="preserve">smokeless tobacco, and ENDS products, </w:t>
      </w:r>
      <w:r w:rsidR="004842DF">
        <w:t>due to Congress’s use of th</w:t>
      </w:r>
      <w:r w:rsidR="001A35F9">
        <w:t>at</w:t>
      </w:r>
      <w:r w:rsidR="004842DF">
        <w:t xml:space="preserve"> term in the PACT Act (and the lack of </w:t>
      </w:r>
      <w:r w:rsidR="001A35F9">
        <w:t xml:space="preserve">any amendment to that usage in the </w:t>
      </w:r>
      <w:r w:rsidR="004842DF">
        <w:t>POSECCA).</w:t>
      </w:r>
      <w:r w:rsidR="0095561F">
        <w:t xml:space="preserve"> </w:t>
      </w:r>
      <w:r w:rsidR="00835BC7">
        <w:t xml:space="preserve">In doing so, the Postal Service </w:t>
      </w:r>
      <w:r w:rsidR="0095561F">
        <w:t xml:space="preserve">acknowledged that even </w:t>
      </w:r>
      <w:r w:rsidR="001A35F9">
        <w:t xml:space="preserve">“tobacco products” </w:t>
      </w:r>
      <w:r w:rsidR="0095561F">
        <w:t>is imperfect</w:t>
      </w:r>
      <w:r w:rsidR="00835BC7">
        <w:t xml:space="preserve"> as applied to ENDS </w:t>
      </w:r>
      <w:r w:rsidR="00835BC7">
        <w:lastRenderedPageBreak/>
        <w:t>products, many of which do not derive from tobacco,</w:t>
      </w:r>
      <w:r w:rsidR="0095561F">
        <w:t xml:space="preserve"> and solicited commenters’ suggestions.</w:t>
      </w:r>
    </w:p>
    <w:p w14:paraId="6D8AEFC3" w14:textId="0D3DFFCC" w:rsidR="0095561F" w:rsidRDefault="00220E15" w:rsidP="004D6D41">
      <w:pPr>
        <w:ind w:firstLine="720"/>
      </w:pPr>
      <w:r>
        <w:t>Commenters presented various views, often independent of their position on ENDS products generally. Some commenters accepted and even agreed with “tobacco products” as a catch-all term</w:t>
      </w:r>
      <w:r w:rsidR="005E0C92">
        <w:t xml:space="preserve">, noting that at least some ENDS liquids contain tobacco-derived nicotine and that Congress intended </w:t>
      </w:r>
      <w:r w:rsidR="00D17765">
        <w:t xml:space="preserve">ENDS to be regulated in the same manner as cigarettes and smokeless tobacco. </w:t>
      </w:r>
      <w:r w:rsidR="0009084E">
        <w:t>Others</w:t>
      </w:r>
      <w:r w:rsidR="00D17765">
        <w:t xml:space="preserve"> supported a </w:t>
      </w:r>
      <w:r w:rsidR="00F038FD">
        <w:t>slightly disaggregated catch-all term, such as “tobacco and vapor products</w:t>
      </w:r>
      <w:r w:rsidR="00D30A2F">
        <w:t>,</w:t>
      </w:r>
      <w:r w:rsidR="00F038FD">
        <w:t>”</w:t>
      </w:r>
      <w:r w:rsidR="00D30A2F">
        <w:t xml:space="preserve"> “cigarettes and alternative tobacco products,” “nicotine products and delivery devices,”</w:t>
      </w:r>
      <w:r w:rsidR="00F038FD">
        <w:t xml:space="preserve"> or “tobacco and nicotine-related delivery products.” </w:t>
      </w:r>
      <w:r w:rsidR="00742B06">
        <w:t xml:space="preserve">Still other commenters opposed the use of a catch-all term, but rather proposed </w:t>
      </w:r>
      <w:r w:rsidR="00CD0784">
        <w:t>a continued serial listing (</w:t>
      </w:r>
      <w:r w:rsidR="00742B06">
        <w:t xml:space="preserve">“cigarettes, </w:t>
      </w:r>
      <w:r w:rsidR="00CD0784">
        <w:t xml:space="preserve">ENDS, and </w:t>
      </w:r>
      <w:r w:rsidR="00742B06">
        <w:t>smokeless tobacco</w:t>
      </w:r>
      <w:r w:rsidR="00CD0784">
        <w:t xml:space="preserve">”). This last group </w:t>
      </w:r>
      <w:r w:rsidR="00B37C0F">
        <w:t xml:space="preserve">opposed the use of an umbrella term for various reasons: </w:t>
      </w:r>
      <w:r w:rsidR="00BD51BD">
        <w:t xml:space="preserve">ENDS products might not be thought of as “tobacco products;” “tobacco products” is a term with </w:t>
      </w:r>
      <w:r w:rsidR="005C195A">
        <w:t>special significance but a different scope in other legal contexts; and ENDS products should not be equated with cigarettes due to purported differences in their level of harmfulness.</w:t>
      </w:r>
    </w:p>
    <w:p w14:paraId="48DFF802" w14:textId="77777777" w:rsidR="00D21FBF" w:rsidRDefault="00D33581" w:rsidP="004D6D41">
      <w:pPr>
        <w:ind w:firstLine="720"/>
      </w:pPr>
      <w:r>
        <w:t xml:space="preserve">Upon </w:t>
      </w:r>
      <w:r w:rsidR="00BB408F">
        <w:t>consideration of these views</w:t>
      </w:r>
      <w:r>
        <w:t xml:space="preserve">, the Postal Service </w:t>
      </w:r>
      <w:r w:rsidR="00BB408F">
        <w:t xml:space="preserve">agrees </w:t>
      </w:r>
      <w:r w:rsidR="00C83DF5">
        <w:t xml:space="preserve">that </w:t>
      </w:r>
      <w:r w:rsidR="00745338">
        <w:t xml:space="preserve">the umbrella term </w:t>
      </w:r>
      <w:r w:rsidR="00C83DF5">
        <w:t xml:space="preserve">“tobacco products,” while </w:t>
      </w:r>
      <w:r w:rsidR="00330DAB">
        <w:t>consistent with statutory usage</w:t>
      </w:r>
      <w:r w:rsidR="00745338">
        <w:t xml:space="preserve">, might pose an undue risk of misleading </w:t>
      </w:r>
      <w:r w:rsidR="005551DA">
        <w:t xml:space="preserve">lay </w:t>
      </w:r>
      <w:r w:rsidR="00745338">
        <w:t>readers</w:t>
      </w:r>
      <w:r w:rsidR="00330DAB">
        <w:t xml:space="preserve"> of the regulations</w:t>
      </w:r>
      <w:r w:rsidR="00C83DF5">
        <w:t xml:space="preserve">. </w:t>
      </w:r>
      <w:r w:rsidR="000E6884">
        <w:t>Notwithstanding the post-POSECCA PACT Act’s continued use of “tobacco products” as an apparent (albeit undefined) umbrella term, c</w:t>
      </w:r>
      <w:r w:rsidR="00BB21B9">
        <w:t xml:space="preserve">atch-all terms relying on “tobacco” or “nicotine” do not adequately capture the </w:t>
      </w:r>
      <w:r w:rsidR="00E47C44">
        <w:t xml:space="preserve">wide range </w:t>
      </w:r>
      <w:r w:rsidR="00BB21B9">
        <w:t xml:space="preserve">of ENDS products covered </w:t>
      </w:r>
      <w:r w:rsidR="00BB21B9">
        <w:lastRenderedPageBreak/>
        <w:t>by the POSECCA.</w:t>
      </w:r>
      <w:r w:rsidR="007A0229">
        <w:t xml:space="preserve"> </w:t>
      </w:r>
      <w:r w:rsidR="00137721">
        <w:t xml:space="preserve">Of the proffered options, </w:t>
      </w:r>
      <w:r w:rsidR="007A0229">
        <w:t xml:space="preserve">“tobacco and vapor products” </w:t>
      </w:r>
      <w:r w:rsidR="00137721">
        <w:t xml:space="preserve">best </w:t>
      </w:r>
      <w:r w:rsidR="0016594C">
        <w:t>captures the distinction between cigarettes and smokeless tobacco, on the one hand, and potentially non-nicotine-based ENDS products, on the other hand</w:t>
      </w:r>
      <w:r w:rsidR="00137721">
        <w:t>. Yet</w:t>
      </w:r>
      <w:r w:rsidR="0016594C">
        <w:t xml:space="preserve"> </w:t>
      </w:r>
      <w:r w:rsidR="00CB0BA7">
        <w:t xml:space="preserve">even it has its shortcomings: </w:t>
      </w:r>
      <w:r w:rsidR="00260281">
        <w:t xml:space="preserve">it </w:t>
      </w:r>
      <w:r w:rsidR="001D46FB">
        <w:t>elide</w:t>
      </w:r>
      <w:r w:rsidR="00CB0BA7">
        <w:t>s</w:t>
      </w:r>
      <w:r w:rsidR="001D46FB">
        <w:t xml:space="preserve"> the </w:t>
      </w:r>
      <w:r w:rsidR="00CB0BA7">
        <w:t xml:space="preserve">degree of </w:t>
      </w:r>
      <w:r w:rsidR="001D46FB">
        <w:t xml:space="preserve">overlap between the two categories, and </w:t>
      </w:r>
      <w:r w:rsidR="0022163F">
        <w:t>the level of generality may sacrifice clarity.</w:t>
      </w:r>
    </w:p>
    <w:p w14:paraId="1F920826" w14:textId="69AF8298" w:rsidR="005C195A" w:rsidRDefault="00D21FBF" w:rsidP="004D6D41">
      <w:pPr>
        <w:ind w:firstLine="720"/>
      </w:pPr>
      <w:r>
        <w:t>T</w:t>
      </w:r>
      <w:r w:rsidR="005551DA">
        <w:t xml:space="preserve">he </w:t>
      </w:r>
      <w:r w:rsidR="00CB0BA7">
        <w:t xml:space="preserve">Postal Service has determined that the well-taken semantic concerns can be avoided through use of the </w:t>
      </w:r>
      <w:r w:rsidR="005551DA">
        <w:t>more generic</w:t>
      </w:r>
      <w:r w:rsidR="006C7A9B">
        <w:t>, all-encompassing term “covered products” to refer</w:t>
      </w:r>
      <w:r w:rsidR="006254FC">
        <w:t xml:space="preserve"> collectively</w:t>
      </w:r>
      <w:r w:rsidR="006C7A9B">
        <w:t xml:space="preserve"> to cigarettes, smokeless tobacco, and ENDS products subject to the PACT Act</w:t>
      </w:r>
      <w:r w:rsidR="000A1FEF">
        <w:t>.</w:t>
      </w:r>
      <w:r w:rsidR="003978DE">
        <w:rPr>
          <w:rStyle w:val="FootnoteReference"/>
        </w:rPr>
        <w:footnoteReference w:id="39"/>
      </w:r>
      <w:r>
        <w:t xml:space="preserve"> </w:t>
      </w:r>
      <w:r w:rsidR="00CA4F9E">
        <w:t xml:space="preserve">At the same time, because certain requirements pertain uniquely to ENDS products, the final rule </w:t>
      </w:r>
      <w:r w:rsidR="00220AFE">
        <w:t xml:space="preserve">treats ENDS products as a standalone category of covered products, rather than subsuming them within the definition of “cigarette” as the POSECCA does. </w:t>
      </w:r>
      <w:r w:rsidR="00412B01">
        <w:t xml:space="preserve">Although this terminological approach differs formally from the statutory framework, the Postal Service is confident that </w:t>
      </w:r>
      <w:r w:rsidR="00280C1D">
        <w:t xml:space="preserve">its regulations yield the same functional result. To the extent of any </w:t>
      </w:r>
      <w:r w:rsidR="00B57E33">
        <w:t xml:space="preserve">inadvertent </w:t>
      </w:r>
      <w:r w:rsidR="00280C1D">
        <w:t>conflict, however, the statute would naturally control.</w:t>
      </w:r>
    </w:p>
    <w:p w14:paraId="3A7C005B" w14:textId="2FE3B4EA" w:rsidR="00C82FFC" w:rsidRPr="006F5D98" w:rsidRDefault="008708FA" w:rsidP="00FE6779">
      <w:pPr>
        <w:ind w:left="2160"/>
        <w:rPr>
          <w:bCs/>
        </w:rPr>
      </w:pPr>
      <w:r w:rsidRPr="00FE6779">
        <w:rPr>
          <w:b/>
          <w:bCs/>
        </w:rPr>
        <w:t>4.</w:t>
      </w:r>
      <w:r w:rsidRPr="00FE6779">
        <w:rPr>
          <w:b/>
          <w:bCs/>
        </w:rPr>
        <w:tab/>
      </w:r>
      <w:bookmarkStart w:id="49" w:name="_Toc79569833"/>
      <w:r w:rsidR="005550CC" w:rsidRPr="00FE6779">
        <w:rPr>
          <w:b/>
          <w:bCs/>
        </w:rPr>
        <w:t>Communications</w:t>
      </w:r>
      <w:bookmarkEnd w:id="49"/>
    </w:p>
    <w:p w14:paraId="0F4D157D" w14:textId="74372002" w:rsidR="005550CC" w:rsidRDefault="002B539E" w:rsidP="002B539E">
      <w:pPr>
        <w:ind w:firstLine="720"/>
      </w:pPr>
      <w:r>
        <w:t>Three ENDS industry commenters asked the Postal Service to issue an updated Field Information Kit</w:t>
      </w:r>
      <w:r w:rsidR="00272E7E">
        <w:t xml:space="preserve"> regarding the mailability of ENDS products, </w:t>
      </w:r>
      <w:proofErr w:type="gramStart"/>
      <w:r w:rsidR="00272E7E">
        <w:t xml:space="preserve">similar </w:t>
      </w:r>
      <w:r w:rsidR="00272E7E">
        <w:lastRenderedPageBreak/>
        <w:t>to</w:t>
      </w:r>
      <w:proofErr w:type="gramEnd"/>
      <w:r w:rsidR="00272E7E">
        <w:t xml:space="preserve"> the one</w:t>
      </w:r>
      <w:r w:rsidR="006702B6">
        <w:t>s</w:t>
      </w:r>
      <w:r w:rsidR="00272E7E">
        <w:t xml:space="preserve"> that it issued upon implementing the original </w:t>
      </w:r>
      <w:r w:rsidR="006702B6">
        <w:t xml:space="preserve">and </w:t>
      </w:r>
      <w:r w:rsidR="00D53F2F">
        <w:t xml:space="preserve">earlier amended </w:t>
      </w:r>
      <w:r w:rsidR="00272E7E">
        <w:t xml:space="preserve">PACT Act. </w:t>
      </w:r>
      <w:r w:rsidR="00272E7E" w:rsidRPr="00AF27CF">
        <w:t>See</w:t>
      </w:r>
      <w:r w:rsidR="00272E7E">
        <w:t xml:space="preserve"> </w:t>
      </w:r>
      <w:r w:rsidR="00347264">
        <w:t>Postal Serv</w:t>
      </w:r>
      <w:r w:rsidR="00AF27CF">
        <w:t>ice</w:t>
      </w:r>
      <w:r w:rsidR="00347264">
        <w:t xml:space="preserve">, </w:t>
      </w:r>
      <w:r w:rsidR="000A695E" w:rsidRPr="00D21FBF">
        <w:t xml:space="preserve">Field Information Kit: PACT Act, </w:t>
      </w:r>
      <w:r w:rsidR="00347264" w:rsidRPr="00D21FBF">
        <w:t xml:space="preserve">Postal Bulletin No. 22,287, </w:t>
      </w:r>
      <w:r w:rsidR="000A695E" w:rsidRPr="00D21FBF">
        <w:t>June</w:t>
      </w:r>
      <w:r w:rsidR="000A695E">
        <w:t xml:space="preserve"> 17, 2010, at </w:t>
      </w:r>
      <w:r w:rsidR="00842875">
        <w:t>3</w:t>
      </w:r>
      <w:r w:rsidR="00AF27CF">
        <w:t>–</w:t>
      </w:r>
      <w:r w:rsidR="00842875">
        <w:t>17</w:t>
      </w:r>
      <w:r w:rsidR="00967F73">
        <w:t xml:space="preserve">, </w:t>
      </w:r>
      <w:hyperlink r:id="rId16" w:history="1">
        <w:r w:rsidR="00D21FBF" w:rsidRPr="001E467C">
          <w:rPr>
            <w:rStyle w:val="Hyperlink"/>
          </w:rPr>
          <w:t>https://about.usps.com/postal-bulletin/2010/pb22287/pdf/pb22287.pdf</w:t>
        </w:r>
      </w:hyperlink>
      <w:r w:rsidR="0072299B">
        <w:t>; Postal Serv</w:t>
      </w:r>
      <w:r w:rsidR="00AF27CF">
        <w:t>ice</w:t>
      </w:r>
      <w:r w:rsidR="0072299B">
        <w:t xml:space="preserve">, </w:t>
      </w:r>
      <w:r w:rsidR="0072299B" w:rsidRPr="00D21FBF">
        <w:t>Field Information Kit: PACT Act, Postal</w:t>
      </w:r>
      <w:r w:rsidR="0072299B">
        <w:t xml:space="preserve"> Bulletin No. 22,2</w:t>
      </w:r>
      <w:r w:rsidR="006702B6">
        <w:t>92</w:t>
      </w:r>
      <w:r w:rsidR="0072299B">
        <w:t xml:space="preserve">, </w:t>
      </w:r>
      <w:r w:rsidR="006702B6">
        <w:t>Aug. 26</w:t>
      </w:r>
      <w:r w:rsidR="0072299B">
        <w:t>, 2010, at 3</w:t>
      </w:r>
      <w:r w:rsidR="00AF27CF">
        <w:t>–</w:t>
      </w:r>
      <w:r w:rsidR="0072299B">
        <w:t>1</w:t>
      </w:r>
      <w:r w:rsidR="006702B6">
        <w:t xml:space="preserve">8, </w:t>
      </w:r>
      <w:hyperlink r:id="rId17" w:history="1">
        <w:r w:rsidR="00D21FBF" w:rsidRPr="001E467C">
          <w:rPr>
            <w:rStyle w:val="Hyperlink"/>
          </w:rPr>
          <w:t>https://about.usps.com/postal-bulletin/2010/pb22292/pdf/pb22292.pdf</w:t>
        </w:r>
      </w:hyperlink>
      <w:r w:rsidR="0072299B">
        <w:t>.</w:t>
      </w:r>
      <w:r w:rsidR="009A14CA">
        <w:t xml:space="preserve"> One law student also recommended that the Postal Service set up webpages to educate the public </w:t>
      </w:r>
      <w:r w:rsidR="00857003">
        <w:t>about the new requirements, as well as trainings for employees.</w:t>
      </w:r>
    </w:p>
    <w:p w14:paraId="23D20B56" w14:textId="60C8D487" w:rsidR="009A14CA" w:rsidRPr="00D53F2F" w:rsidRDefault="006D7CA1" w:rsidP="00857003">
      <w:pPr>
        <w:ind w:firstLine="720"/>
      </w:pPr>
      <w:r>
        <w:t xml:space="preserve">In conjunction </w:t>
      </w:r>
      <w:r w:rsidR="00D53F2F">
        <w:t xml:space="preserve">with this </w:t>
      </w:r>
      <w:r w:rsidR="00D53F2F">
        <w:rPr>
          <w:i/>
          <w:iCs/>
        </w:rPr>
        <w:t>Federal Register</w:t>
      </w:r>
      <w:r w:rsidR="00D53F2F">
        <w:t xml:space="preserve"> notice, the Postal Service is issuing a Field Information Kit</w:t>
      </w:r>
      <w:r w:rsidR="009A14CA">
        <w:t>.</w:t>
      </w:r>
      <w:r w:rsidR="00857003">
        <w:t xml:space="preserve"> Like its 2010 counterparts, the Field Information Kit contains </w:t>
      </w:r>
      <w:r w:rsidR="001F5CD9">
        <w:t xml:space="preserve">training materials and job aids to be distributed to Postal Service employees, as well as background information and frequently asked questions for both employees and </w:t>
      </w:r>
      <w:r w:rsidR="008B0715">
        <w:t xml:space="preserve">the public. The Postal Bulletin </w:t>
      </w:r>
      <w:r w:rsidR="00666358">
        <w:t>is</w:t>
      </w:r>
      <w:r w:rsidR="008B0715">
        <w:t xml:space="preserve"> available at </w:t>
      </w:r>
      <w:hyperlink r:id="rId18" w:history="1">
        <w:r w:rsidR="00A17BC1" w:rsidRPr="00D33AB6">
          <w:rPr>
            <w:rStyle w:val="Hyperlink"/>
          </w:rPr>
          <w:t>https://about.usps.com/postal-bulletin/2021</w:t>
        </w:r>
      </w:hyperlink>
      <w:r w:rsidR="00776345">
        <w:t>.</w:t>
      </w:r>
    </w:p>
    <w:p w14:paraId="7DF3DA1D" w14:textId="0CEA3977" w:rsidR="001E0022" w:rsidRPr="006F5D98" w:rsidRDefault="008708FA" w:rsidP="00FE6779">
      <w:pPr>
        <w:ind w:left="1440"/>
        <w:rPr>
          <w:bCs/>
        </w:rPr>
      </w:pPr>
      <w:r w:rsidRPr="00FE6779">
        <w:rPr>
          <w:b/>
          <w:bCs/>
        </w:rPr>
        <w:t>5.</w:t>
      </w:r>
      <w:r w:rsidRPr="00FE6779">
        <w:rPr>
          <w:b/>
          <w:bCs/>
        </w:rPr>
        <w:tab/>
      </w:r>
      <w:bookmarkStart w:id="50" w:name="_Toc79569834"/>
      <w:r w:rsidR="001E0022" w:rsidRPr="00FE6779">
        <w:rPr>
          <w:b/>
          <w:bCs/>
        </w:rPr>
        <w:t>Enforcement</w:t>
      </w:r>
      <w:bookmarkEnd w:id="50"/>
    </w:p>
    <w:p w14:paraId="22BA81B3" w14:textId="2ABF6EED" w:rsidR="00A55405" w:rsidRDefault="00CF0CCA" w:rsidP="00BC5D0F">
      <w:pPr>
        <w:ind w:firstLine="720"/>
        <w:rPr>
          <w:rFonts w:cs="Arial"/>
        </w:rPr>
      </w:pPr>
      <w:r>
        <w:t xml:space="preserve">A group of State and local attorneys general asked the Postal Service not to return to sender matter made nonmailable under the PACT Act, but to seize and destroy it instead. These commenters adverted to </w:t>
      </w:r>
      <w:r w:rsidR="00A55405">
        <w:t xml:space="preserve">ongoing litigation that some of them have brought on this issue. </w:t>
      </w:r>
      <w:r w:rsidR="00A55405" w:rsidRPr="00AF27CF">
        <w:t>See generally</w:t>
      </w:r>
      <w:r w:rsidR="00A55405">
        <w:rPr>
          <w:i/>
          <w:iCs/>
        </w:rPr>
        <w:t xml:space="preserve"> </w:t>
      </w:r>
      <w:r w:rsidR="00A55405">
        <w:rPr>
          <w:rFonts w:cs="Arial"/>
          <w:i/>
          <w:iCs/>
        </w:rPr>
        <w:t>City of New York v. U.S. Postal Serv.</w:t>
      </w:r>
      <w:r w:rsidR="00A55405">
        <w:rPr>
          <w:rFonts w:cs="Arial"/>
        </w:rPr>
        <w:t>, No. 1:19-CV-05934 (E.D.N.Y. filed Oct. 22, 2019).</w:t>
      </w:r>
      <w:r w:rsidR="00BC5D0F">
        <w:rPr>
          <w:rFonts w:cs="Arial"/>
        </w:rPr>
        <w:t xml:space="preserve"> </w:t>
      </w:r>
      <w:r w:rsidR="00A55405">
        <w:rPr>
          <w:rFonts w:cs="Arial"/>
        </w:rPr>
        <w:t xml:space="preserve">Because this matter is the subject of ongoing litigation, the Postal Service declines to address it </w:t>
      </w:r>
      <w:proofErr w:type="gramStart"/>
      <w:r w:rsidR="00B95AF8">
        <w:rPr>
          <w:rFonts w:cs="Arial"/>
        </w:rPr>
        <w:t>at this time</w:t>
      </w:r>
      <w:proofErr w:type="gramEnd"/>
      <w:r w:rsidR="00A55405">
        <w:rPr>
          <w:rFonts w:cs="Arial"/>
        </w:rPr>
        <w:t>.</w:t>
      </w:r>
    </w:p>
    <w:p w14:paraId="48BAB7C9" w14:textId="1E3976E7" w:rsidR="00BC5D0F" w:rsidRDefault="00BC5D0F" w:rsidP="00CF0CCA">
      <w:pPr>
        <w:ind w:firstLine="720"/>
        <w:rPr>
          <w:rFonts w:cs="Arial"/>
        </w:rPr>
      </w:pPr>
      <w:r>
        <w:rPr>
          <w:rFonts w:cs="Arial"/>
        </w:rPr>
        <w:lastRenderedPageBreak/>
        <w:t xml:space="preserve">One ENDS consumer expressed skepticism that </w:t>
      </w:r>
      <w:r w:rsidR="005E6E14">
        <w:rPr>
          <w:rFonts w:cs="Arial"/>
        </w:rPr>
        <w:t xml:space="preserve">the POSECCA will be enforceable, to the extent that vendors </w:t>
      </w:r>
      <w:r w:rsidR="00131BF3">
        <w:rPr>
          <w:rFonts w:cs="Arial"/>
        </w:rPr>
        <w:t xml:space="preserve">send products below the supposed weight threshold for Postal Service enforcement without </w:t>
      </w:r>
      <w:r w:rsidR="005E6E14">
        <w:rPr>
          <w:rFonts w:cs="Arial"/>
        </w:rPr>
        <w:t>publicly advertis</w:t>
      </w:r>
      <w:r w:rsidR="00131BF3">
        <w:rPr>
          <w:rFonts w:cs="Arial"/>
        </w:rPr>
        <w:t>ing</w:t>
      </w:r>
      <w:r w:rsidR="005E6E14">
        <w:rPr>
          <w:rFonts w:cs="Arial"/>
        </w:rPr>
        <w:t xml:space="preserve"> or mark</w:t>
      </w:r>
      <w:r w:rsidR="00131BF3">
        <w:rPr>
          <w:rFonts w:cs="Arial"/>
        </w:rPr>
        <w:t>ing</w:t>
      </w:r>
      <w:r w:rsidR="005E6E14">
        <w:rPr>
          <w:rFonts w:cs="Arial"/>
        </w:rPr>
        <w:t xml:space="preserve"> their product</w:t>
      </w:r>
      <w:r w:rsidR="00131BF3">
        <w:rPr>
          <w:rFonts w:cs="Arial"/>
        </w:rPr>
        <w:t xml:space="preserve">. </w:t>
      </w:r>
      <w:r w:rsidR="005166F6">
        <w:rPr>
          <w:rFonts w:cs="Arial"/>
        </w:rPr>
        <w:t xml:space="preserve">While it is </w:t>
      </w:r>
      <w:r w:rsidR="00BC5646">
        <w:rPr>
          <w:rFonts w:cs="Arial"/>
        </w:rPr>
        <w:t xml:space="preserve">conceivable </w:t>
      </w:r>
      <w:r w:rsidR="005166F6">
        <w:rPr>
          <w:rFonts w:cs="Arial"/>
        </w:rPr>
        <w:t xml:space="preserve">that some illegal activity will evade detection in any law-enforcement scheme, </w:t>
      </w:r>
      <w:r w:rsidR="00631B31">
        <w:rPr>
          <w:rFonts w:cs="Arial"/>
        </w:rPr>
        <w:t>each of the commenter’s premises is false. First, there is no weight threshold for Postal Service enforcement of mailability</w:t>
      </w:r>
      <w:r w:rsidR="0041792A">
        <w:rPr>
          <w:rFonts w:cs="Arial"/>
        </w:rPr>
        <w:t>; the Postal Service can and does enforce mailability laws regardless of weight, shape, or other mailpiece characteristics</w:t>
      </w:r>
      <w:r w:rsidR="00631B31">
        <w:rPr>
          <w:rFonts w:cs="Arial"/>
        </w:rPr>
        <w:t>.</w:t>
      </w:r>
      <w:r w:rsidR="0041792A">
        <w:rPr>
          <w:rFonts w:cs="Arial"/>
        </w:rPr>
        <w:t xml:space="preserve"> Second, a vendor that does not advertise its sales is unlikely to </w:t>
      </w:r>
      <w:r w:rsidR="009723A4">
        <w:rPr>
          <w:rFonts w:cs="Arial"/>
        </w:rPr>
        <w:t xml:space="preserve">remain a vendor for long. Third, </w:t>
      </w:r>
      <w:r w:rsidR="00C80D74">
        <w:rPr>
          <w:rFonts w:cs="Arial"/>
        </w:rPr>
        <w:t>the presence of identifying markings is not a prerequisite for detection of nonmailable matter</w:t>
      </w:r>
      <w:r w:rsidR="00240B18">
        <w:rPr>
          <w:rFonts w:cs="Arial"/>
        </w:rPr>
        <w:t xml:space="preserve">; indeed, few shippers of the substantial quantities of nonmailable contraband detected by the Postal Inspection Service and its Federal law-enforcement partners </w:t>
      </w:r>
      <w:r w:rsidR="005B043D">
        <w:rPr>
          <w:rFonts w:cs="Arial"/>
        </w:rPr>
        <w:t>transparently indicate the illicit contents that they are shipping</w:t>
      </w:r>
      <w:r w:rsidR="00C80D74">
        <w:rPr>
          <w:rFonts w:cs="Arial"/>
        </w:rPr>
        <w:t>.</w:t>
      </w:r>
    </w:p>
    <w:p w14:paraId="18402468" w14:textId="1D934919" w:rsidR="005B043D" w:rsidRDefault="005B043D" w:rsidP="00CF0CCA">
      <w:pPr>
        <w:ind w:firstLine="720"/>
      </w:pPr>
      <w:r>
        <w:rPr>
          <w:rFonts w:cs="Arial"/>
        </w:rPr>
        <w:t xml:space="preserve">Finally, a commercial mailing agent </w:t>
      </w:r>
      <w:r w:rsidR="00F9078B">
        <w:rPr>
          <w:rFonts w:cs="Arial"/>
        </w:rPr>
        <w:t xml:space="preserve">asked for clarification of its duty to enforce the POSECCA and PACT Act and its liability for its customers’ mailings. </w:t>
      </w:r>
      <w:bookmarkStart w:id="51" w:name="ep772786"/>
      <w:r w:rsidR="00606131">
        <w:t xml:space="preserve">As already provided in Postal Service regulations, all mailers, including mail service providers and </w:t>
      </w:r>
      <w:r w:rsidR="00201795">
        <w:t xml:space="preserve">mailing </w:t>
      </w:r>
      <w:r w:rsidR="00606131">
        <w:t>agents, must comply with applicable Postal Service laws and regulations governing mailability and preparation for mailing, as well as non</w:t>
      </w:r>
      <w:r w:rsidR="009B6084">
        <w:t>-</w:t>
      </w:r>
      <w:r w:rsidR="00606131">
        <w:t>postal laws and regulations on the shipment of particular matter.</w:t>
      </w:r>
      <w:bookmarkEnd w:id="51"/>
      <w:r w:rsidR="00606131">
        <w:t xml:space="preserve"> Publication 52 section 212. </w:t>
      </w:r>
      <w:r w:rsidR="006213BC">
        <w:t xml:space="preserve">In other words, a </w:t>
      </w:r>
      <w:r w:rsidR="00D225C4">
        <w:t xml:space="preserve">mail service provider or </w:t>
      </w:r>
      <w:r w:rsidR="006213BC">
        <w:t xml:space="preserve">mailing agent, as </w:t>
      </w:r>
      <w:r w:rsidR="00D225C4">
        <w:t xml:space="preserve">a </w:t>
      </w:r>
      <w:r w:rsidR="006213BC">
        <w:t>mailer</w:t>
      </w:r>
      <w:r w:rsidR="00D225C4">
        <w:t xml:space="preserve"> on behalf of a third</w:t>
      </w:r>
      <w:r w:rsidR="00CF48C9">
        <w:t xml:space="preserve"> </w:t>
      </w:r>
      <w:r w:rsidR="00D225C4">
        <w:t>party</w:t>
      </w:r>
      <w:r w:rsidR="006213BC">
        <w:t>, is liable for violations of mailing laws in the same manner as any other mailer.</w:t>
      </w:r>
      <w:r w:rsidR="00D225C4">
        <w:t xml:space="preserve"> Mail service providers and mailing agents may limit </w:t>
      </w:r>
      <w:r w:rsidR="00D225C4">
        <w:lastRenderedPageBreak/>
        <w:t xml:space="preserve">their liability </w:t>
      </w:r>
      <w:r w:rsidR="006C0931">
        <w:t xml:space="preserve">risk </w:t>
      </w:r>
      <w:r w:rsidR="00D225C4">
        <w:t xml:space="preserve">by taking </w:t>
      </w:r>
      <w:r w:rsidR="00211216">
        <w:t xml:space="preserve">robust </w:t>
      </w:r>
      <w:r w:rsidR="00D225C4">
        <w:t xml:space="preserve">measures to </w:t>
      </w:r>
      <w:r w:rsidR="00CF48C9">
        <w:t xml:space="preserve">identify </w:t>
      </w:r>
      <w:r w:rsidR="00211216">
        <w:t>attempts to use their services for unlawful purposes</w:t>
      </w:r>
      <w:r w:rsidR="006C0931">
        <w:t>.</w:t>
      </w:r>
    </w:p>
    <w:p w14:paraId="3A6D41A4" w14:textId="1E9BBA87" w:rsidR="003C6A8A" w:rsidRPr="006F5D98" w:rsidRDefault="008708FA" w:rsidP="00FE6779">
      <w:pPr>
        <w:ind w:left="1440"/>
        <w:rPr>
          <w:bCs/>
        </w:rPr>
      </w:pPr>
      <w:r w:rsidRPr="00FE6779">
        <w:rPr>
          <w:b/>
          <w:bCs/>
        </w:rPr>
        <w:t>6.</w:t>
      </w:r>
      <w:r w:rsidRPr="00FE6779">
        <w:rPr>
          <w:b/>
          <w:bCs/>
        </w:rPr>
        <w:tab/>
      </w:r>
      <w:bookmarkStart w:id="52" w:name="_Toc79569835"/>
      <w:r w:rsidR="003C6A8A" w:rsidRPr="00FE6779">
        <w:rPr>
          <w:b/>
          <w:bCs/>
        </w:rPr>
        <w:t>Availability of Rules’ Text</w:t>
      </w:r>
      <w:bookmarkEnd w:id="52"/>
    </w:p>
    <w:p w14:paraId="58F7DC0C" w14:textId="223BFD9A" w:rsidR="007B60DB" w:rsidRPr="000D3A79" w:rsidRDefault="00925393" w:rsidP="007B60DB">
      <w:pPr>
        <w:shd w:val="clear" w:color="auto" w:fill="FFFFFF"/>
        <w:ind w:firstLine="720"/>
        <w:rPr>
          <w:rFonts w:cs="Arial"/>
        </w:rPr>
      </w:pPr>
      <w:r>
        <w:t xml:space="preserve">Some commenters urged the Postal Service to make the text of the proposed or new rules available as soon as possible. </w:t>
      </w:r>
      <w:r w:rsidR="000D3A79">
        <w:t xml:space="preserve">At the time of the notice of proposed rulemaking, Publication 52 was incorporated by reference in 39 CFR 113.2. As such, the </w:t>
      </w:r>
      <w:r w:rsidR="007B60DB">
        <w:t xml:space="preserve">Office of the Federal Register </w:t>
      </w:r>
      <w:r w:rsidR="000D3A79">
        <w:t xml:space="preserve">did not permit </w:t>
      </w:r>
      <w:r w:rsidR="007B60DB">
        <w:t xml:space="preserve">the text of </w:t>
      </w:r>
      <w:r w:rsidR="000D3A79">
        <w:t xml:space="preserve">revisions or proposed revisions to Publication 52 to </w:t>
      </w:r>
      <w:r w:rsidR="007B60DB">
        <w:t xml:space="preserve">appear in the attendant </w:t>
      </w:r>
      <w:r w:rsidR="007B60DB">
        <w:rPr>
          <w:i/>
          <w:iCs/>
        </w:rPr>
        <w:t>Federal Register</w:t>
      </w:r>
      <w:r w:rsidR="007B60DB">
        <w:t xml:space="preserve"> notice. In the interest of transparency and facilitating informed public comment, the Postal Service posted the proposed rules’ text on its website and directed readers of the </w:t>
      </w:r>
      <w:r w:rsidR="007B60DB">
        <w:rPr>
          <w:i/>
          <w:iCs/>
        </w:rPr>
        <w:t>Federal Register</w:t>
      </w:r>
      <w:r w:rsidR="007B60DB">
        <w:t xml:space="preserve"> notice of proposed rulemaking to that posting. </w:t>
      </w:r>
      <w:r w:rsidR="000D3A79">
        <w:t xml:space="preserve">This afforded commenters a reasonable opportunity to review the proposed revisions, and several of the comments demonstrate that their authors did so. Subsequently, the Postal Service, in consultation with the Office of the Federal Register, amended Title 39, CFR, and the DMM to clarify the status of Publication 52. </w:t>
      </w:r>
      <w:r w:rsidR="009E245B">
        <w:t>86 FR 53220</w:t>
      </w:r>
      <w:r w:rsidR="000D3A79">
        <w:t xml:space="preserve">. As a result of those changes, the text of revisions to Publication 52 is now permitted to be published with the attendant </w:t>
      </w:r>
      <w:r w:rsidR="000D3A79">
        <w:rPr>
          <w:i/>
          <w:iCs/>
        </w:rPr>
        <w:t>Federal Register</w:t>
      </w:r>
      <w:r w:rsidR="000D3A79">
        <w:t xml:space="preserve"> notice, as is the case with this final rule.</w:t>
      </w:r>
    </w:p>
    <w:p w14:paraId="0A66E20D" w14:textId="5ABB8949" w:rsidR="003C6A8A" w:rsidRPr="007B60DB" w:rsidRDefault="007B60DB" w:rsidP="007B60DB">
      <w:pPr>
        <w:shd w:val="clear" w:color="auto" w:fill="FFFFFF"/>
        <w:ind w:firstLine="720"/>
        <w:rPr>
          <w:rFonts w:cs="Arial"/>
        </w:rPr>
      </w:pPr>
      <w:r>
        <w:rPr>
          <w:rFonts w:cs="Arial"/>
        </w:rPr>
        <w:t xml:space="preserve">Three ENDS industry commenters urged the Postal Service to publish the text of the final rules in advance of formal publication. It is unclear what this suggestion is supposed to mean. The Postal Service is unaware of any rulemaking practice whereby a final rule is published twice, once “informally” and once “formally.” There is only publication of the final rule, which, in this case, </w:t>
      </w:r>
      <w:r>
        <w:rPr>
          <w:rFonts w:cs="Arial"/>
        </w:rPr>
        <w:lastRenderedPageBreak/>
        <w:t>immediately triggers the nonmailability of ENDS products. If the commenters’ idea is that the Postal Service should publish the rules first and the response to comments later, then this, too, does not appear to comport with regular Federal rulemaking practices, and it might raise concerns about due process and APA compliance. As such, the Postal Service has opted for consistency with normal practices</w:t>
      </w:r>
      <w:r w:rsidR="00AF13BF">
        <w:rPr>
          <w:rFonts w:cs="Arial"/>
        </w:rPr>
        <w:t>, while attempting to enhance awareness and clarity through issuance of the April 2021 Guidance</w:t>
      </w:r>
      <w:r>
        <w:rPr>
          <w:rFonts w:cs="Arial"/>
        </w:rPr>
        <w:t xml:space="preserve">. </w:t>
      </w:r>
    </w:p>
    <w:p w14:paraId="5FC7CD4E" w14:textId="3D40AE1D" w:rsidR="00AD12CD" w:rsidRPr="006F5D98" w:rsidRDefault="008708FA" w:rsidP="00FE6779">
      <w:pPr>
        <w:ind w:left="1440"/>
        <w:rPr>
          <w:bCs/>
        </w:rPr>
      </w:pPr>
      <w:r w:rsidRPr="00FE6779">
        <w:rPr>
          <w:b/>
          <w:bCs/>
        </w:rPr>
        <w:t>7</w:t>
      </w:r>
      <w:bookmarkStart w:id="53" w:name="_Toc79569836"/>
      <w:r w:rsidRPr="00FE6779">
        <w:rPr>
          <w:b/>
          <w:bCs/>
        </w:rPr>
        <w:t>.</w:t>
      </w:r>
      <w:r w:rsidRPr="00FE6779">
        <w:rPr>
          <w:b/>
          <w:bCs/>
        </w:rPr>
        <w:tab/>
      </w:r>
      <w:r w:rsidR="00AD12CD" w:rsidRPr="00FE6779">
        <w:rPr>
          <w:b/>
          <w:bCs/>
        </w:rPr>
        <w:t>Updates</w:t>
      </w:r>
      <w:bookmarkEnd w:id="53"/>
    </w:p>
    <w:p w14:paraId="414DE009" w14:textId="11E5C23F" w:rsidR="00AD12CD" w:rsidRDefault="00A4264E" w:rsidP="00A4264E">
      <w:pPr>
        <w:ind w:firstLine="720"/>
      </w:pPr>
      <w:r>
        <w:t xml:space="preserve">One law student </w:t>
      </w:r>
      <w:r w:rsidR="009B6EA1">
        <w:t xml:space="preserve">recommended that the Postal Service </w:t>
      </w:r>
      <w:r w:rsidR="00387B2C">
        <w:t xml:space="preserve">periodically </w:t>
      </w:r>
      <w:r w:rsidR="00F33C1B">
        <w:t xml:space="preserve">review </w:t>
      </w:r>
      <w:r w:rsidR="009B6EA1">
        <w:t xml:space="preserve">the final rule </w:t>
      </w:r>
      <w:r w:rsidR="00F33C1B">
        <w:t xml:space="preserve">for potential revisions </w:t>
      </w:r>
      <w:r w:rsidR="009B6EA1">
        <w:t xml:space="preserve">to account for subsequent </w:t>
      </w:r>
      <w:r w:rsidR="00387B2C">
        <w:t xml:space="preserve">research regarding ENDS products. The commenter suggested that the </w:t>
      </w:r>
      <w:r w:rsidR="00F33C1B">
        <w:t xml:space="preserve">review </w:t>
      </w:r>
      <w:r w:rsidR="003E4C4E">
        <w:t xml:space="preserve">occur one year after the end of the FDA’s </w:t>
      </w:r>
      <w:r w:rsidR="00C5338C">
        <w:t>period for premarket tobacco product applications and every three years thereafter.</w:t>
      </w:r>
    </w:p>
    <w:p w14:paraId="022BF134" w14:textId="77777777" w:rsidR="00B0140B" w:rsidRDefault="00C5338C" w:rsidP="00A4264E">
      <w:pPr>
        <w:ind w:firstLine="720"/>
      </w:pPr>
      <w:r>
        <w:t xml:space="preserve">The </w:t>
      </w:r>
      <w:r w:rsidR="00D43F5C">
        <w:t>Postal Service appreciates that research on the public-health risks and benefits arising from ENDS products</w:t>
      </w:r>
      <w:r w:rsidR="006B284F">
        <w:t>, as well as the market for ENDS products itself,</w:t>
      </w:r>
      <w:r w:rsidR="00D43F5C">
        <w:t xml:space="preserve"> is in a state of rapid evolution.</w:t>
      </w:r>
      <w:r w:rsidR="006B284F">
        <w:t xml:space="preserve"> This final rule itself is likely to have its own effects on the ENDS market and on public health.</w:t>
      </w:r>
    </w:p>
    <w:p w14:paraId="25586334" w14:textId="3659B73D" w:rsidR="00C5338C" w:rsidRDefault="00B0140B" w:rsidP="00A4264E">
      <w:pPr>
        <w:ind w:firstLine="720"/>
      </w:pPr>
      <w:r>
        <w:t xml:space="preserve">As discussed in section </w:t>
      </w:r>
      <w:r w:rsidR="00E85A84" w:rsidRPr="0022072C">
        <w:t>III.A</w:t>
      </w:r>
      <w:r w:rsidR="00E85A84">
        <w:t xml:space="preserve">, however, </w:t>
      </w:r>
      <w:r w:rsidR="00673535">
        <w:t xml:space="preserve">this rulemaking is not an instance of policy discretion by the Postal Service, such as the Postal Service might revisit as </w:t>
      </w:r>
      <w:r w:rsidR="008363CE">
        <w:t xml:space="preserve">facts and policy considerations change. </w:t>
      </w:r>
      <w:r w:rsidR="00C71A43">
        <w:t>T</w:t>
      </w:r>
      <w:r w:rsidR="008363CE">
        <w:t>he Postal Service is fulfilling a severely circumscribed statutory command to make ENDS products nonmailable except in certain limited circumstances.</w:t>
      </w:r>
      <w:r w:rsidR="00F41711">
        <w:t xml:space="preserve"> The decision about the public-health risks and benefits was made by Congress. </w:t>
      </w:r>
      <w:r w:rsidR="00933FD1">
        <w:t xml:space="preserve">While further scientific research may </w:t>
      </w:r>
      <w:r w:rsidR="00933FD1">
        <w:lastRenderedPageBreak/>
        <w:t xml:space="preserve">alter Congress’s policy decision, the Postal Service does not anticipate that it will </w:t>
      </w:r>
      <w:r w:rsidR="00A746E8">
        <w:t xml:space="preserve">bear on the limited </w:t>
      </w:r>
      <w:proofErr w:type="gramStart"/>
      <w:r w:rsidR="00A746E8">
        <w:t>manner in which</w:t>
      </w:r>
      <w:proofErr w:type="gramEnd"/>
      <w:r w:rsidR="00A746E8">
        <w:t xml:space="preserve"> it is carrying out Congress’s mandate.</w:t>
      </w:r>
      <w:r w:rsidR="0010531D">
        <w:t xml:space="preserve"> As such, the Postal Service also does not anticipate a need to revisit this final rule </w:t>
      </w:r>
      <w:proofErr w:type="gramStart"/>
      <w:r w:rsidR="0010531D">
        <w:t>on the basis of</w:t>
      </w:r>
      <w:proofErr w:type="gramEnd"/>
      <w:r w:rsidR="0010531D">
        <w:t xml:space="preserve"> further scientific research.</w:t>
      </w:r>
    </w:p>
    <w:p w14:paraId="720A5C72" w14:textId="2AD77C86" w:rsidR="0010531D" w:rsidRPr="00C82FFC" w:rsidRDefault="00E9275D" w:rsidP="00A4264E">
      <w:pPr>
        <w:ind w:firstLine="720"/>
      </w:pPr>
      <w:r>
        <w:t xml:space="preserve">That said, the Postal Service may </w:t>
      </w:r>
      <w:r w:rsidR="00F33C1B">
        <w:t xml:space="preserve">eventually </w:t>
      </w:r>
      <w:r>
        <w:t xml:space="preserve">have other reasons to revisit this final rule, </w:t>
      </w:r>
      <w:r w:rsidR="00BA1DCD">
        <w:t xml:space="preserve">such as </w:t>
      </w:r>
      <w:r w:rsidR="00EB53BA">
        <w:t xml:space="preserve">further changes in applicable law; </w:t>
      </w:r>
      <w:r w:rsidR="00BA1DCD">
        <w:t xml:space="preserve">evolution in the ENDS market; further guidance from </w:t>
      </w:r>
      <w:r w:rsidR="00A407A0">
        <w:t>ATF</w:t>
      </w:r>
      <w:r w:rsidR="00BA1DCD">
        <w:t xml:space="preserve"> on the scope of covered ENDS products; </w:t>
      </w:r>
      <w:r w:rsidR="00E05F15">
        <w:t xml:space="preserve">potential FDA approval of ENDS products for tobacco-cessation or other therapeutic uses; </w:t>
      </w:r>
      <w:r w:rsidR="00792B48">
        <w:t xml:space="preserve">advances in technology that may facilitate alternative methods for administering the Business/Regulatory Purposes </w:t>
      </w:r>
      <w:r w:rsidR="00081DFB">
        <w:t>e</w:t>
      </w:r>
      <w:r w:rsidR="00792B48">
        <w:t xml:space="preserve">xception; and </w:t>
      </w:r>
      <w:r w:rsidR="000F6A20">
        <w:t>the development of regulatory and enforcement experience regarding ENDS products.</w:t>
      </w:r>
      <w:r w:rsidR="009D282B">
        <w:t xml:space="preserve"> Because these (and other, unforeseen) circumstances are not predictable, the Postal Service finds it imprudent to prescribe a schedule of revisions </w:t>
      </w:r>
      <w:proofErr w:type="gramStart"/>
      <w:r w:rsidR="009D282B">
        <w:t>at this time</w:t>
      </w:r>
      <w:proofErr w:type="gramEnd"/>
      <w:r w:rsidR="009D282B">
        <w:t>.</w:t>
      </w:r>
    </w:p>
    <w:p w14:paraId="3CE21358" w14:textId="684FB5C9" w:rsidR="006E509A" w:rsidRPr="006F5D98" w:rsidRDefault="008708FA" w:rsidP="00FE6779">
      <w:pPr>
        <w:rPr>
          <w:bCs/>
        </w:rPr>
      </w:pPr>
      <w:bookmarkStart w:id="54" w:name="_Toc79569837"/>
      <w:r w:rsidRPr="00FE6779">
        <w:rPr>
          <w:b/>
          <w:bCs/>
        </w:rPr>
        <w:t>IV.</w:t>
      </w:r>
      <w:r w:rsidRPr="00FE6779">
        <w:rPr>
          <w:b/>
          <w:bCs/>
        </w:rPr>
        <w:tab/>
      </w:r>
      <w:r w:rsidR="006E509A" w:rsidRPr="00FE6779">
        <w:rPr>
          <w:b/>
          <w:bCs/>
        </w:rPr>
        <w:t>Explanation of Changes from Proposed Rule</w:t>
      </w:r>
      <w:bookmarkEnd w:id="54"/>
    </w:p>
    <w:p w14:paraId="4BC23614" w14:textId="01C4EC7C" w:rsidR="00D1211D" w:rsidRDefault="00D1211D" w:rsidP="00D1211D">
      <w:pPr>
        <w:ind w:firstLine="720"/>
      </w:pPr>
      <w:r>
        <w:t>The final rule includes substantive revisions and additions to Publication 52, as well as non</w:t>
      </w:r>
      <w:r w:rsidR="00647D3C">
        <w:t>-</w:t>
      </w:r>
      <w:r>
        <w:t xml:space="preserve">substantive corrections for consistency and organization, such as extensive renumbering to accommodate substantive revisions. </w:t>
      </w:r>
    </w:p>
    <w:p w14:paraId="74A17501" w14:textId="77777777" w:rsidR="00D1211D" w:rsidRDefault="00D1211D" w:rsidP="00D1211D">
      <w:pPr>
        <w:ind w:firstLine="720"/>
      </w:pPr>
      <w:r>
        <w:t>Material substantive revisions from the proposed rule that are incorporated throughout the final rule include the following:</w:t>
      </w:r>
    </w:p>
    <w:p w14:paraId="71129C19" w14:textId="49402CFC" w:rsidR="00D1211D" w:rsidRDefault="00D1211D" w:rsidP="00D916ED">
      <w:pPr>
        <w:pStyle w:val="ListParagraph"/>
        <w:numPr>
          <w:ilvl w:val="0"/>
          <w:numId w:val="7"/>
        </w:numPr>
        <w:contextualSpacing/>
      </w:pPr>
      <w:r>
        <w:t>“Covered products,” defined in</w:t>
      </w:r>
      <w:r w:rsidR="00647D3C">
        <w:t xml:space="preserve"> section</w:t>
      </w:r>
      <w:r>
        <w:t xml:space="preserve"> 471.6 as any cigarette, smokeless tobacco, or ENDS, replaces “tobacco products” where applicable. </w:t>
      </w:r>
    </w:p>
    <w:p w14:paraId="71FB6B48" w14:textId="77777777" w:rsidR="00D1211D" w:rsidRDefault="00D1211D" w:rsidP="00D916ED">
      <w:pPr>
        <w:pStyle w:val="ListParagraph"/>
        <w:numPr>
          <w:ilvl w:val="0"/>
          <w:numId w:val="7"/>
        </w:numPr>
        <w:contextualSpacing/>
      </w:pPr>
      <w:r>
        <w:lastRenderedPageBreak/>
        <w:t xml:space="preserve">Marking requirements for mailings under nonmailability exceptions are revised to provide options for distinguishing among covered products and eligible recipients where applicable. </w:t>
      </w:r>
    </w:p>
    <w:p w14:paraId="554FA144" w14:textId="77777777" w:rsidR="00D1211D" w:rsidRDefault="00D1211D" w:rsidP="00D916ED">
      <w:pPr>
        <w:pStyle w:val="ListParagraph"/>
        <w:numPr>
          <w:ilvl w:val="0"/>
          <w:numId w:val="7"/>
        </w:numPr>
        <w:contextualSpacing/>
      </w:pPr>
      <w:r>
        <w:t xml:space="preserve">Application requirements for the Business/Regulatory Purposes, Consumer Testing, and Public Health exceptions are revised to (1) allow for submission of applications by email to a specified Postal Service email address; (2) require submission of specified Postal Service forms and/or worksheets; (3) clarify that copies of licenses may be furnished (in lieu of originals); (4) clarify the timeframe (i.e., at least 15 days) for updating application materials prior to mailings to or from parties to which the updated information relates; and (5) clarify that Postal Service personnel will have access to current lists of authorized senders/recipients under applicable exceptions.  </w:t>
      </w:r>
    </w:p>
    <w:p w14:paraId="6AEA8E22" w14:textId="77777777" w:rsidR="00D1211D" w:rsidRDefault="00D1211D" w:rsidP="00D916ED">
      <w:pPr>
        <w:pStyle w:val="ListParagraph"/>
        <w:numPr>
          <w:ilvl w:val="0"/>
          <w:numId w:val="7"/>
        </w:numPr>
        <w:contextualSpacing/>
      </w:pPr>
      <w:r>
        <w:t xml:space="preserve">Application requirements for the Business/Regulatory Purposes and Public Health exceptions are revised to specify that the PCSC Director may suspend, modify, or rescind discretionary waivers for federal or state government agencies of certain application requirements.  </w:t>
      </w:r>
    </w:p>
    <w:p w14:paraId="435BA5CA" w14:textId="41AD4939" w:rsidR="00D1211D" w:rsidRDefault="00D1211D" w:rsidP="00D916ED">
      <w:pPr>
        <w:pStyle w:val="ListParagraph"/>
        <w:numPr>
          <w:ilvl w:val="0"/>
          <w:numId w:val="7"/>
        </w:numPr>
        <w:contextualSpacing/>
      </w:pPr>
      <w:r>
        <w:t>Mailing requirements for the Business/Regulatory Purposes and Consumer Testing exceptions are revised to require that a current PCSC eligibility letter be presented at acceptance</w:t>
      </w:r>
      <w:r w:rsidR="00477CCB">
        <w:t>, to acknowledge that lists of authorized senders and recipients will be made available to acceptance personnel,</w:t>
      </w:r>
      <w:r>
        <w:t xml:space="preserve"> and to clarify that such mailings may be tendered at retail or BME locations. </w:t>
      </w:r>
    </w:p>
    <w:p w14:paraId="2DF3FE8A" w14:textId="550C4D12" w:rsidR="00D1211D" w:rsidRDefault="00D1211D" w:rsidP="00D916ED">
      <w:pPr>
        <w:pStyle w:val="ListParagraph"/>
        <w:numPr>
          <w:ilvl w:val="0"/>
          <w:numId w:val="7"/>
        </w:numPr>
        <w:contextualSpacing/>
      </w:pPr>
      <w:r>
        <w:lastRenderedPageBreak/>
        <w:t xml:space="preserve">Mailing requirements for the Business/Regulatory Purposes and Certain Individuals exceptions are revised to reflect current Postal Service offerings by requiring the use of a combination of Priority Mail </w:t>
      </w:r>
      <w:r w:rsidR="00096A3E">
        <w:t xml:space="preserve">Express </w:t>
      </w:r>
      <w:r>
        <w:t>or Priority Mail with Adult Signature Required or Adult Signature Restricted Delivery. Mailing requirements for the Consumer Testing and Public Health exceptions are similarly revised to require the use of a combination of Priority Mail Express or Priority Mail with Adult Signature Restricted Delivery.</w:t>
      </w:r>
      <w:r>
        <w:rPr>
          <w:rStyle w:val="FootnoteReference"/>
        </w:rPr>
        <w:footnoteReference w:id="40"/>
      </w:r>
      <w:r>
        <w:t xml:space="preserve"> For all exceptions, the former option of Priority Mail Express with Hold for Pickup is deleted.</w:t>
      </w:r>
    </w:p>
    <w:p w14:paraId="0478CAE7" w14:textId="0C1EF685" w:rsidR="00D1211D" w:rsidRDefault="00D1211D" w:rsidP="00D916ED">
      <w:pPr>
        <w:pStyle w:val="ListParagraph"/>
        <w:numPr>
          <w:ilvl w:val="0"/>
          <w:numId w:val="7"/>
        </w:numPr>
        <w:contextualSpacing/>
      </w:pPr>
      <w:r>
        <w:t xml:space="preserve">Delivery requirements for the Business/Regulatory Purposes and Consumer Testing exceptions are revised to clarify that mailings lacking the PCSC eligibility number in the return block will not be </w:t>
      </w:r>
      <w:r w:rsidR="00477CCB">
        <w:t xml:space="preserve">released </w:t>
      </w:r>
      <w:r>
        <w:t xml:space="preserve">to recipients. </w:t>
      </w:r>
    </w:p>
    <w:p w14:paraId="290CC06F" w14:textId="77777777" w:rsidR="00D1211D" w:rsidRDefault="00D1211D" w:rsidP="00D916ED">
      <w:pPr>
        <w:pStyle w:val="ListParagraph"/>
        <w:numPr>
          <w:ilvl w:val="0"/>
          <w:numId w:val="7"/>
        </w:numPr>
        <w:contextualSpacing/>
      </w:pPr>
      <w:r>
        <w:t xml:space="preserve">Delivery requirements for the Certain Individuals and Consumer Testing exceptions are revised to clarify that the minimum age of recipients must be confirmed by Postal Service personnel before mailings may be released or delivered to recipients. </w:t>
      </w:r>
    </w:p>
    <w:p w14:paraId="65E629E2" w14:textId="77777777" w:rsidR="008161E5" w:rsidRDefault="008161E5" w:rsidP="00D1211D">
      <w:pPr>
        <w:ind w:firstLine="720"/>
      </w:pPr>
    </w:p>
    <w:p w14:paraId="3675F127" w14:textId="43D88EAC" w:rsidR="00D1211D" w:rsidRDefault="00D1211D" w:rsidP="00D1211D">
      <w:pPr>
        <w:ind w:firstLine="720"/>
      </w:pPr>
      <w:r>
        <w:t>Discrete substantive revisions include the following:</w:t>
      </w:r>
    </w:p>
    <w:p w14:paraId="7B03AF3A" w14:textId="50BA25F0" w:rsidR="00D1211D" w:rsidRDefault="00D1211D" w:rsidP="00D916ED">
      <w:pPr>
        <w:pStyle w:val="ListParagraph"/>
        <w:numPr>
          <w:ilvl w:val="0"/>
          <w:numId w:val="7"/>
        </w:numPr>
        <w:contextualSpacing/>
      </w:pPr>
      <w:r>
        <w:lastRenderedPageBreak/>
        <w:t xml:space="preserve">The </w:t>
      </w:r>
      <w:r w:rsidR="00477CCB">
        <w:t xml:space="preserve">proposed </w:t>
      </w:r>
      <w:r>
        <w:t xml:space="preserve">definition of “e-liquid” in proposed </w:t>
      </w:r>
      <w:r w:rsidR="008161E5">
        <w:t xml:space="preserve">section </w:t>
      </w:r>
      <w:r>
        <w:t xml:space="preserve">471.3 is deleted as redundant. </w:t>
      </w:r>
    </w:p>
    <w:p w14:paraId="576637FC" w14:textId="00BA2C22" w:rsidR="00D1211D" w:rsidRDefault="00D1211D" w:rsidP="00D916ED">
      <w:pPr>
        <w:pStyle w:val="ListParagraph"/>
        <w:numPr>
          <w:ilvl w:val="0"/>
          <w:numId w:val="7"/>
        </w:numPr>
        <w:contextualSpacing/>
      </w:pPr>
      <w:r>
        <w:t>A consolidated definition of “minimum age,” defined as 21 years of age, or older where required by local law for acceptance or delivery, is added</w:t>
      </w:r>
      <w:r w:rsidRPr="00AD43A8">
        <w:t xml:space="preserve"> </w:t>
      </w:r>
      <w:r>
        <w:t xml:space="preserve">in </w:t>
      </w:r>
      <w:r w:rsidR="008161E5">
        <w:t xml:space="preserve">section </w:t>
      </w:r>
      <w:r>
        <w:t xml:space="preserve">471.9. </w:t>
      </w:r>
    </w:p>
    <w:p w14:paraId="30E643E3" w14:textId="511DA1B7" w:rsidR="00B95AF8" w:rsidRDefault="00B95AF8" w:rsidP="00B95AF8">
      <w:pPr>
        <w:pStyle w:val="ListParagraph"/>
        <w:numPr>
          <w:ilvl w:val="0"/>
          <w:numId w:val="7"/>
        </w:numPr>
        <w:contextualSpacing/>
      </w:pPr>
      <w:r>
        <w:t>General provisions regarding nonmailability and reasonable cause in proposed 472.1 are reorganized as sections 472.1 and .2. The circumstances giving rise to nonmailability are delineated more specifically; the treatment of nonmailable matter found in the mails and not seized is clarified through a cross-reference to general provisions on that topic; and clarification is made that nonmailable covered products must not be accepted, forwarded, or delivered.</w:t>
      </w:r>
    </w:p>
    <w:p w14:paraId="740B4AD9" w14:textId="4F46209F" w:rsidR="009D64C2" w:rsidRDefault="00D1211D" w:rsidP="00D916ED">
      <w:pPr>
        <w:pStyle w:val="ListParagraph"/>
        <w:numPr>
          <w:ilvl w:val="0"/>
          <w:numId w:val="7"/>
        </w:numPr>
        <w:contextualSpacing/>
      </w:pPr>
      <w:r>
        <w:t xml:space="preserve">The “reasonable cause” standard for Postal Service personnel in proposed </w:t>
      </w:r>
      <w:r w:rsidR="008161E5">
        <w:t xml:space="preserve">section </w:t>
      </w:r>
      <w:r>
        <w:t xml:space="preserve">472.1 is clarified to allow consideration of any potentially relevant circumstances. </w:t>
      </w:r>
    </w:p>
    <w:p w14:paraId="3FE5071A" w14:textId="4724C2D8" w:rsidR="00831168" w:rsidRDefault="008B6A73" w:rsidP="00D916ED">
      <w:pPr>
        <w:pStyle w:val="ListParagraph"/>
        <w:numPr>
          <w:ilvl w:val="0"/>
          <w:numId w:val="7"/>
        </w:numPr>
        <w:contextualSpacing/>
      </w:pPr>
      <w:r>
        <w:t>A</w:t>
      </w:r>
      <w:r w:rsidR="00442520">
        <w:t xml:space="preserve"> new section 473</w:t>
      </w:r>
      <w:r w:rsidR="009432A7">
        <w:t>.b</w:t>
      </w:r>
      <w:r w:rsidR="00376544">
        <w:t xml:space="preserve"> clarifies that </w:t>
      </w:r>
      <w:r w:rsidR="00793C8C">
        <w:t xml:space="preserve">the PACT Act exceptions do not apply to </w:t>
      </w:r>
      <w:r w:rsidR="00376544">
        <w:t xml:space="preserve">mail from the United States to </w:t>
      </w:r>
      <w:r w:rsidR="004C58BA">
        <w:t xml:space="preserve">APO, FPO, or </w:t>
      </w:r>
      <w:r w:rsidR="00376544">
        <w:t>DPO addresses</w:t>
      </w:r>
      <w:r w:rsidR="00793C8C">
        <w:t xml:space="preserve">. As explained in section </w:t>
      </w:r>
      <w:r w:rsidR="00793C8C" w:rsidRPr="0022072C">
        <w:t>III.J.1</w:t>
      </w:r>
      <w:r w:rsidR="00793C8C">
        <w:t xml:space="preserve">, </w:t>
      </w:r>
      <w:r w:rsidR="004C58BA">
        <w:t xml:space="preserve">the postal services necessary to reliably fulfill the PACT Act exceptions’ verification requirements are not currently available at such locations, and </w:t>
      </w:r>
      <w:r w:rsidR="005167F2">
        <w:t xml:space="preserve">at this time, there does not appear to be any </w:t>
      </w:r>
      <w:r w:rsidR="004C58BA">
        <w:t>sufficiently reliable alternative means of ensuring that those requirements are fulfilled</w:t>
      </w:r>
      <w:r w:rsidR="008666BA">
        <w:t xml:space="preserve">. </w:t>
      </w:r>
      <w:r w:rsidR="004C58BA">
        <w:t xml:space="preserve">In conformance with this change, provisions are </w:t>
      </w:r>
      <w:r w:rsidR="004C58BA">
        <w:lastRenderedPageBreak/>
        <w:t>removed from the Certain Individuals section that had formerly prescribed how shipments can be made to APO/FPO addresses.</w:t>
      </w:r>
    </w:p>
    <w:p w14:paraId="232808B1" w14:textId="6F7641AC" w:rsidR="009430D7" w:rsidRDefault="009430D7" w:rsidP="00D916ED">
      <w:pPr>
        <w:pStyle w:val="ListParagraph"/>
        <w:numPr>
          <w:ilvl w:val="0"/>
          <w:numId w:val="7"/>
        </w:numPr>
        <w:contextualSpacing/>
      </w:pPr>
      <w:r>
        <w:t>A new section 473.1.e consolidates the requirement, common to all PACT Act exceptions, that all excepted shipments must be tendered through a face-to-face transaction with a Postal Service employee. For clarity, the requirement is framed here in the negative, as a prohibition on all other entry methods, and enumerates examples of prohibited entry methods.</w:t>
      </w:r>
    </w:p>
    <w:p w14:paraId="5DD4642B" w14:textId="4F5056B6" w:rsidR="00967B11" w:rsidRDefault="00967B11" w:rsidP="00D916ED">
      <w:pPr>
        <w:pStyle w:val="ListParagraph"/>
        <w:numPr>
          <w:ilvl w:val="0"/>
          <w:numId w:val="7"/>
        </w:numPr>
        <w:contextualSpacing/>
      </w:pPr>
      <w:r>
        <w:t>Language is added to the preamble of the Business/Regulatory Purposes exception provisions to clarify not only the types of parties eligible to mail under the exception, but the specific sender-addressee pairings permitted by the PACT Act (i.e., business-to-business, business-to-government, or government-to-business, but not government-to-government).</w:t>
      </w:r>
    </w:p>
    <w:p w14:paraId="1EA8DFA4" w14:textId="00A1E4D5" w:rsidR="00D1211D" w:rsidRDefault="00D1211D" w:rsidP="00D916ED">
      <w:pPr>
        <w:pStyle w:val="ListParagraph"/>
        <w:numPr>
          <w:ilvl w:val="0"/>
          <w:numId w:val="7"/>
        </w:numPr>
        <w:contextualSpacing/>
      </w:pPr>
      <w:r>
        <w:t>Application requirements for the Business/Regulatory Purposes exception are further revised to include additional required information relating to (1)</w:t>
      </w:r>
      <w:r w:rsidR="00836D0C">
        <w:t> </w:t>
      </w:r>
      <w:r>
        <w:t>the nature of the relevant business(es); and (2)</w:t>
      </w:r>
      <w:r w:rsidR="00836D0C">
        <w:t> </w:t>
      </w:r>
      <w:r>
        <w:t>for ENDS only, brand name(s) and product description(s), including information sufficient to confirm mailability under other applicable provisions (</w:t>
      </w:r>
      <w:r w:rsidRPr="005476DD">
        <w:t>e.g.</w:t>
      </w:r>
      <w:r w:rsidRPr="00B41110">
        <w:t>,</w:t>
      </w:r>
      <w:r>
        <w:t xml:space="preserve"> restrictions related to hazardous materials or</w:t>
      </w:r>
      <w:r w:rsidRPr="0087646A">
        <w:t xml:space="preserve"> </w:t>
      </w:r>
      <w:r>
        <w:t>controlled substances).</w:t>
      </w:r>
    </w:p>
    <w:p w14:paraId="4F98499B" w14:textId="77777777" w:rsidR="00D1211D" w:rsidRDefault="00D1211D" w:rsidP="00D916ED">
      <w:pPr>
        <w:pStyle w:val="ListParagraph"/>
        <w:numPr>
          <w:ilvl w:val="0"/>
          <w:numId w:val="7"/>
        </w:numPr>
        <w:contextualSpacing/>
      </w:pPr>
      <w:r>
        <w:t xml:space="preserve">Delivery requirements for the Business/Regulatory Purposes exception are revised to provide examples of methods for verifying a recipient’s employment. Specifically, proof of employment may take the form of an employee identification card or badge containing the name and phone number of the employer/agency along with the name of the employee; a </w:t>
      </w:r>
      <w:r>
        <w:lastRenderedPageBreak/>
        <w:t xml:space="preserve">signed letter on employer/agency letterhead; or any form of identification the postmaster deems to be of comparable reliability. Further clarification is made that employee status may be inferred by Postal Service personnel based on observable factors. </w:t>
      </w:r>
    </w:p>
    <w:p w14:paraId="10B0F90A" w14:textId="3507789A" w:rsidR="00FB6AF6" w:rsidRDefault="00D1211D" w:rsidP="00D916ED">
      <w:pPr>
        <w:pStyle w:val="ListParagraph"/>
        <w:numPr>
          <w:ilvl w:val="0"/>
          <w:numId w:val="7"/>
        </w:numPr>
        <w:contextualSpacing/>
      </w:pPr>
      <w:r>
        <w:t xml:space="preserve">Provisions are added regarding the Certain Individuals exception to emphasize the </w:t>
      </w:r>
      <w:r w:rsidR="00FB6AF6">
        <w:t>non</w:t>
      </w:r>
      <w:r>
        <w:t>commercial</w:t>
      </w:r>
      <w:r w:rsidR="00FB6AF6">
        <w:t xml:space="preserve">-purpose </w:t>
      </w:r>
      <w:r>
        <w:t>requirement and to clarify how it applies in the context of returns of damaged or unacceptable merchandise and of used products sent for recycling.</w:t>
      </w:r>
    </w:p>
    <w:p w14:paraId="33DE8C86" w14:textId="1A5F4C5F" w:rsidR="00D1211D" w:rsidRDefault="00D1211D" w:rsidP="00D916ED">
      <w:pPr>
        <w:pStyle w:val="ListParagraph"/>
        <w:numPr>
          <w:ilvl w:val="0"/>
          <w:numId w:val="7"/>
        </w:numPr>
        <w:contextualSpacing/>
      </w:pPr>
      <w:r w:rsidRPr="00795FAC">
        <w:t xml:space="preserve">Application requirements </w:t>
      </w:r>
      <w:r>
        <w:t xml:space="preserve">for the Consumer Testing exception </w:t>
      </w:r>
      <w:r w:rsidRPr="00795FAC">
        <w:t>are revised</w:t>
      </w:r>
      <w:r>
        <w:t xml:space="preserve"> </w:t>
      </w:r>
      <w:r w:rsidRPr="00795FAC">
        <w:t>to require submission of a copy of the permit issued under 26 U</w:t>
      </w:r>
      <w:r>
        <w:t>.</w:t>
      </w:r>
      <w:r w:rsidRPr="00795FAC">
        <w:t>S</w:t>
      </w:r>
      <w:r>
        <w:t>.</w:t>
      </w:r>
      <w:r w:rsidRPr="00795FAC">
        <w:t>C</w:t>
      </w:r>
      <w:r>
        <w:t>.</w:t>
      </w:r>
      <w:r w:rsidRPr="00795FAC">
        <w:t xml:space="preserve"> 5713.</w:t>
      </w:r>
      <w:r w:rsidR="00967B11">
        <w:t xml:space="preserve"> Conversely, language is added to the Public Health exception provision to clarify that a manufacturer’s permit is not required for government agencies applying under that exception.</w:t>
      </w:r>
    </w:p>
    <w:p w14:paraId="7BC1BCA7" w14:textId="718BC98F" w:rsidR="00D1211D" w:rsidRDefault="00D1211D" w:rsidP="00D916ED">
      <w:pPr>
        <w:pStyle w:val="ListParagraph"/>
        <w:numPr>
          <w:ilvl w:val="0"/>
          <w:numId w:val="7"/>
        </w:numPr>
        <w:contextualSpacing/>
      </w:pPr>
      <w:r>
        <w:t xml:space="preserve">The additional requirements set out in proposed </w:t>
      </w:r>
      <w:r w:rsidR="008161E5">
        <w:t xml:space="preserve">section </w:t>
      </w:r>
      <w:r>
        <w:t xml:space="preserve">472.27 are relocated to </w:t>
      </w:r>
      <w:r w:rsidR="008161E5">
        <w:t xml:space="preserve">section </w:t>
      </w:r>
      <w:r>
        <w:t>472.</w:t>
      </w:r>
      <w:r w:rsidR="00B95AF8">
        <w:t>3</w:t>
      </w:r>
      <w:r>
        <w:t xml:space="preserve"> and revised to clarify the applicability of other laws and regulations.</w:t>
      </w:r>
    </w:p>
    <w:p w14:paraId="526F59EA" w14:textId="1AC077E0" w:rsidR="00D1211D" w:rsidRDefault="00D1211D" w:rsidP="00D916ED">
      <w:pPr>
        <w:pStyle w:val="ListParagraph"/>
        <w:numPr>
          <w:ilvl w:val="0"/>
          <w:numId w:val="7"/>
        </w:numPr>
        <w:contextualSpacing/>
      </w:pPr>
      <w:r>
        <w:t xml:space="preserve">Mailers’ requirements to retain eligibility documentation under applicable nonmailability exceptions are increased from three to six years to align with potentially applicable statutes of limitations and are set out separately in </w:t>
      </w:r>
      <w:r w:rsidR="008161E5">
        <w:t xml:space="preserve">section </w:t>
      </w:r>
      <w:r>
        <w:t>472.</w:t>
      </w:r>
      <w:r w:rsidR="00B95AF8">
        <w:t>4</w:t>
      </w:r>
      <w:r>
        <w:t xml:space="preserve">. </w:t>
      </w:r>
    </w:p>
    <w:p w14:paraId="6CAA028E" w14:textId="77777777" w:rsidR="00D1211D" w:rsidRDefault="00D1211D" w:rsidP="00D916ED">
      <w:pPr>
        <w:pStyle w:val="ListParagraph"/>
        <w:numPr>
          <w:ilvl w:val="0"/>
          <w:numId w:val="7"/>
        </w:numPr>
        <w:contextualSpacing/>
      </w:pPr>
      <w:r>
        <w:t xml:space="preserve">Revisions and additions are made to clarify that applicants bear the burden, during initial determinations or appeals, of establishing eligibility for each sender and recipient, and must submit additional documentation </w:t>
      </w:r>
      <w:r>
        <w:lastRenderedPageBreak/>
        <w:t xml:space="preserve">as necessary. Further clarification is made that the PCSC Director may approve or deny applications in whole or with respect to certain mailers or recipients, and that eligibility may be suspended, modified, or revoked, in whole or in part, for failure to comply with applicable laws or regulations. </w:t>
      </w:r>
    </w:p>
    <w:p w14:paraId="04E74F58" w14:textId="77777777" w:rsidR="00F46300" w:rsidRDefault="00F46300" w:rsidP="00D916ED">
      <w:pPr>
        <w:pStyle w:val="ListParagraph"/>
        <w:numPr>
          <w:ilvl w:val="0"/>
          <w:numId w:val="7"/>
        </w:numPr>
        <w:contextualSpacing/>
      </w:pPr>
      <w:r>
        <w:t>A new section 474.1 is added to clarify that ATF administers the relevant statutory definition of ENDS and the exclusion of FDA-approved tobacco-cessation and therapeutic products. Persons interested in interpretive guidance concerning these two subjects are advised to contact ATF at the listed address, with a copy to the PCSC.</w:t>
      </w:r>
    </w:p>
    <w:p w14:paraId="38DB885C" w14:textId="77777777" w:rsidR="00F46300" w:rsidRDefault="00F46300" w:rsidP="00D916ED">
      <w:pPr>
        <w:pStyle w:val="ListParagraph"/>
        <w:numPr>
          <w:ilvl w:val="0"/>
          <w:numId w:val="7"/>
        </w:numPr>
        <w:contextualSpacing/>
      </w:pPr>
      <w:r>
        <w:t xml:space="preserve">The statutory exclusion of FDA-approved tobacco cessation/therapeutic products from the definition of ENDS in proposed section 471.2 is set out separately in section 474.2, and a requirement is added for persons who believe that a product qualifies for this exclusion to submit documentation to ATF, with a copy to the PCSC. </w:t>
      </w:r>
    </w:p>
    <w:p w14:paraId="35CE962E" w14:textId="47A048C0" w:rsidR="00A42903" w:rsidRDefault="00A42903">
      <w:pPr>
        <w:spacing w:line="240" w:lineRule="auto"/>
        <w:rPr>
          <w:rFonts w:eastAsia="Arial" w:cs="Arial"/>
        </w:rPr>
      </w:pPr>
      <w:bookmarkStart w:id="55" w:name="SR;933"/>
      <w:bookmarkStart w:id="56" w:name="SR;935"/>
      <w:bookmarkEnd w:id="55"/>
      <w:bookmarkEnd w:id="56"/>
    </w:p>
    <w:p w14:paraId="28AD7D23" w14:textId="6009E4D8" w:rsidR="00E51291" w:rsidRPr="00FE6779" w:rsidRDefault="00E51291" w:rsidP="00E51291">
      <w:pPr>
        <w:rPr>
          <w:rFonts w:eastAsia="Arial" w:cs="Arial"/>
          <w:b/>
          <w:bCs/>
        </w:rPr>
      </w:pPr>
      <w:r w:rsidRPr="00FE6779">
        <w:rPr>
          <w:rFonts w:eastAsia="Arial" w:cs="Arial"/>
          <w:b/>
          <w:bCs/>
        </w:rPr>
        <w:t>List of Subjects in 39 CFR Part 111</w:t>
      </w:r>
    </w:p>
    <w:p w14:paraId="422B6268" w14:textId="2FB78669" w:rsidR="00E51291" w:rsidRPr="00E51291" w:rsidRDefault="00E51291" w:rsidP="00E51291">
      <w:pPr>
        <w:rPr>
          <w:rFonts w:eastAsia="Arial" w:cs="Arial"/>
        </w:rPr>
      </w:pPr>
      <w:r w:rsidRPr="00E51291">
        <w:rPr>
          <w:rFonts w:eastAsia="Arial" w:cs="Arial"/>
        </w:rPr>
        <w:t>Administrative practice and procedure</w:t>
      </w:r>
      <w:r>
        <w:rPr>
          <w:rFonts w:eastAsia="Arial" w:cs="Arial"/>
        </w:rPr>
        <w:t xml:space="preserve">, </w:t>
      </w:r>
      <w:r w:rsidRPr="00E51291">
        <w:rPr>
          <w:rFonts w:eastAsia="Arial" w:cs="Arial"/>
        </w:rPr>
        <w:t>Postal Service</w:t>
      </w:r>
      <w:r>
        <w:rPr>
          <w:rFonts w:eastAsia="Arial" w:cs="Arial"/>
        </w:rPr>
        <w:t>.</w:t>
      </w:r>
    </w:p>
    <w:p w14:paraId="1E78B4F1" w14:textId="77777777" w:rsidR="000D493A" w:rsidRDefault="000D493A" w:rsidP="000D493A">
      <w:pPr>
        <w:ind w:left="360"/>
      </w:pPr>
    </w:p>
    <w:p w14:paraId="17C24DE8" w14:textId="77777777" w:rsidR="000D493A" w:rsidRPr="00B111B2" w:rsidRDefault="000D493A" w:rsidP="000D493A">
      <w:pPr>
        <w:rPr>
          <w:b/>
          <w:i/>
        </w:rPr>
      </w:pPr>
      <w:r w:rsidRPr="00B111B2">
        <w:rPr>
          <w:b/>
          <w:i/>
        </w:rPr>
        <w:t>Joshua M. Hofer,</w:t>
      </w:r>
    </w:p>
    <w:p w14:paraId="14337448" w14:textId="77777777" w:rsidR="000D493A" w:rsidRPr="00C17691" w:rsidRDefault="000D493A" w:rsidP="000D493A">
      <w:pPr>
        <w:rPr>
          <w:rFonts w:cs="Arial"/>
          <w:i/>
          <w:iCs/>
        </w:rPr>
      </w:pPr>
      <w:r w:rsidRPr="00C17691">
        <w:rPr>
          <w:rFonts w:cs="Arial"/>
          <w:i/>
          <w:iCs/>
        </w:rPr>
        <w:t>Attorney, Federal Compliance.</w:t>
      </w:r>
    </w:p>
    <w:p w14:paraId="03A02937" w14:textId="77777777" w:rsidR="000D493A" w:rsidRDefault="000D493A" w:rsidP="00E51291">
      <w:pPr>
        <w:rPr>
          <w:rFonts w:eastAsia="Arial" w:cs="Arial"/>
        </w:rPr>
      </w:pPr>
    </w:p>
    <w:p w14:paraId="348F2BBE" w14:textId="465E6D49" w:rsidR="00E51291" w:rsidRPr="00E51291" w:rsidRDefault="00E51291" w:rsidP="00E51291">
      <w:pPr>
        <w:rPr>
          <w:rFonts w:eastAsia="Arial" w:cs="Arial"/>
        </w:rPr>
      </w:pPr>
      <w:r w:rsidRPr="00E51291">
        <w:rPr>
          <w:rFonts w:eastAsia="Arial" w:cs="Arial"/>
        </w:rPr>
        <w:t xml:space="preserve">The Postal Service adopts the following changes to </w:t>
      </w:r>
      <w:r>
        <w:rPr>
          <w:rFonts w:eastAsia="Arial" w:cs="Arial"/>
        </w:rPr>
        <w:t xml:space="preserve">Publication 52, </w:t>
      </w:r>
      <w:r w:rsidRPr="00C17691">
        <w:rPr>
          <w:rFonts w:cs="Arial"/>
          <w:bCs/>
          <w:i/>
        </w:rPr>
        <w:t>Hazardous, Restricted, and Perishable Mail</w:t>
      </w:r>
      <w:r>
        <w:rPr>
          <w:rFonts w:cs="Arial"/>
          <w:bCs/>
          <w:iCs/>
        </w:rPr>
        <w:t xml:space="preserve">, incorporated by reference into </w:t>
      </w:r>
      <w:r w:rsidRPr="00E51291">
        <w:rPr>
          <w:rFonts w:eastAsia="Arial" w:cs="Arial"/>
        </w:rPr>
        <w:t>Mailing Standards of the United States Postal Service, Domestic Mail Manual (DMM),</w:t>
      </w:r>
      <w:r>
        <w:rPr>
          <w:rFonts w:eastAsia="Arial" w:cs="Arial"/>
        </w:rPr>
        <w:t xml:space="preserve"> section </w:t>
      </w:r>
      <w:r>
        <w:rPr>
          <w:rFonts w:eastAsia="Arial" w:cs="Arial"/>
        </w:rPr>
        <w:lastRenderedPageBreak/>
        <w:t>601.8.1, which is further</w:t>
      </w:r>
      <w:r w:rsidRPr="00E51291">
        <w:rPr>
          <w:rFonts w:eastAsia="Arial" w:cs="Arial"/>
        </w:rPr>
        <w:t xml:space="preserve"> incorporated by reference in the Code of Federal Regulations. 39 CFR 111.1</w:t>
      </w:r>
      <w:r>
        <w:rPr>
          <w:rFonts w:eastAsia="Arial" w:cs="Arial"/>
        </w:rPr>
        <w:t>, 111.3</w:t>
      </w:r>
      <w:r w:rsidRPr="00E51291">
        <w:rPr>
          <w:rFonts w:eastAsia="Arial" w:cs="Arial"/>
        </w:rPr>
        <w:t>.</w:t>
      </w:r>
      <w:r>
        <w:rPr>
          <w:rFonts w:eastAsia="Arial" w:cs="Arial"/>
        </w:rPr>
        <w:t xml:space="preserve"> Publication 52 is also a regulation of the Postal Service, changes to which may be published in the </w:t>
      </w:r>
      <w:r>
        <w:rPr>
          <w:rFonts w:eastAsia="Arial" w:cs="Arial"/>
          <w:i/>
          <w:iCs/>
        </w:rPr>
        <w:t>Federal Register</w:t>
      </w:r>
      <w:r>
        <w:rPr>
          <w:rFonts w:eastAsia="Arial" w:cs="Arial"/>
        </w:rPr>
        <w:t>. 39 CFR 211.2(a).</w:t>
      </w:r>
      <w:r w:rsidR="000D493A">
        <w:rPr>
          <w:rFonts w:eastAsia="Arial" w:cs="Arial"/>
        </w:rPr>
        <w:t xml:space="preserve"> Accordingly, f</w:t>
      </w:r>
      <w:r w:rsidRPr="00E51291">
        <w:rPr>
          <w:rFonts w:eastAsia="Arial" w:cs="Arial"/>
        </w:rPr>
        <w:t xml:space="preserve">or the reasons stated in the preamble, the Postal Service amends </w:t>
      </w:r>
      <w:r>
        <w:rPr>
          <w:rFonts w:eastAsia="Arial" w:cs="Arial"/>
        </w:rPr>
        <w:t>Publication 52</w:t>
      </w:r>
      <w:r w:rsidRPr="00E51291">
        <w:rPr>
          <w:rFonts w:eastAsia="Arial" w:cs="Arial"/>
        </w:rPr>
        <w:t xml:space="preserve"> as follows:</w:t>
      </w:r>
    </w:p>
    <w:p w14:paraId="393B3374" w14:textId="77777777" w:rsidR="00E51291" w:rsidRDefault="00E51291" w:rsidP="008D7E9D">
      <w:pPr>
        <w:rPr>
          <w:rFonts w:eastAsia="Arial" w:cs="Arial"/>
        </w:rPr>
      </w:pPr>
    </w:p>
    <w:p w14:paraId="04FB3BAB" w14:textId="4C461FB5" w:rsidR="008D7E9D" w:rsidRPr="00C17691" w:rsidRDefault="008D7E9D" w:rsidP="008D7E9D">
      <w:pPr>
        <w:rPr>
          <w:rFonts w:eastAsia="Arial" w:cs="Arial"/>
        </w:rPr>
      </w:pPr>
      <w:r w:rsidRPr="00C17691">
        <w:rPr>
          <w:rFonts w:eastAsia="Arial" w:cs="Arial"/>
        </w:rPr>
        <w:t>*</w:t>
      </w:r>
      <w:r w:rsidRPr="00C17691">
        <w:rPr>
          <w:rFonts w:eastAsia="Arial" w:cs="Arial"/>
        </w:rPr>
        <w:tab/>
        <w:t>*</w:t>
      </w:r>
      <w:r w:rsidRPr="00C17691">
        <w:rPr>
          <w:rFonts w:eastAsia="Arial" w:cs="Arial"/>
        </w:rPr>
        <w:tab/>
        <w:t>*</w:t>
      </w:r>
      <w:r w:rsidRPr="00C17691">
        <w:rPr>
          <w:rFonts w:eastAsia="Arial" w:cs="Arial"/>
        </w:rPr>
        <w:tab/>
        <w:t>*</w:t>
      </w:r>
      <w:r w:rsidRPr="00C17691">
        <w:rPr>
          <w:rFonts w:eastAsia="Arial" w:cs="Arial"/>
        </w:rPr>
        <w:tab/>
        <w:t>*</w:t>
      </w:r>
    </w:p>
    <w:p w14:paraId="352CC79E" w14:textId="77777777" w:rsidR="008D7E9D" w:rsidRPr="00C17691" w:rsidRDefault="008D7E9D" w:rsidP="007F1912">
      <w:pPr>
        <w:rPr>
          <w:rFonts w:eastAsia="Arial" w:cs="Arial"/>
          <w:b/>
        </w:rPr>
      </w:pPr>
      <w:r w:rsidRPr="00C17691">
        <w:rPr>
          <w:rFonts w:eastAsia="Arial" w:cs="Arial"/>
          <w:b/>
        </w:rPr>
        <w:t>4 Restricted Matter</w:t>
      </w:r>
    </w:p>
    <w:p w14:paraId="7F552E19" w14:textId="00309054" w:rsidR="006321BE" w:rsidRPr="00C17691" w:rsidRDefault="006321BE" w:rsidP="006321BE">
      <w:pPr>
        <w:rPr>
          <w:rFonts w:eastAsia="Arial" w:cs="Arial"/>
        </w:rPr>
      </w:pPr>
      <w:r w:rsidRPr="00C17691">
        <w:rPr>
          <w:rFonts w:eastAsia="Arial" w:cs="Arial"/>
        </w:rPr>
        <w:t>*</w:t>
      </w:r>
      <w:r w:rsidRPr="00C17691">
        <w:rPr>
          <w:rFonts w:eastAsia="Arial" w:cs="Arial"/>
        </w:rPr>
        <w:tab/>
        <w:t>*</w:t>
      </w:r>
      <w:r w:rsidRPr="00C17691">
        <w:rPr>
          <w:rFonts w:eastAsia="Arial" w:cs="Arial"/>
        </w:rPr>
        <w:tab/>
        <w:t>*</w:t>
      </w:r>
      <w:r w:rsidRPr="00C17691">
        <w:rPr>
          <w:rFonts w:eastAsia="Arial" w:cs="Arial"/>
        </w:rPr>
        <w:tab/>
        <w:t>*</w:t>
      </w:r>
      <w:r w:rsidRPr="00C17691">
        <w:rPr>
          <w:rFonts w:eastAsia="Arial" w:cs="Arial"/>
        </w:rPr>
        <w:tab/>
        <w:t>*</w:t>
      </w:r>
    </w:p>
    <w:p w14:paraId="11F2D098" w14:textId="44D7DD81" w:rsidR="000914F3" w:rsidRPr="00C17691" w:rsidRDefault="006321BE" w:rsidP="006321BE">
      <w:pPr>
        <w:rPr>
          <w:rFonts w:eastAsia="Arial" w:cs="Arial"/>
          <w:i/>
        </w:rPr>
      </w:pPr>
      <w:r w:rsidRPr="00C17691">
        <w:rPr>
          <w:rFonts w:eastAsia="Arial" w:cs="Arial"/>
          <w:i/>
        </w:rPr>
        <w:t xml:space="preserve"> </w:t>
      </w:r>
      <w:r w:rsidR="000914F3" w:rsidRPr="00C17691">
        <w:rPr>
          <w:rFonts w:eastAsia="Arial" w:cs="Arial"/>
          <w:i/>
        </w:rPr>
        <w:t xml:space="preserve">[Revise title </w:t>
      </w:r>
      <w:r w:rsidRPr="00C17691">
        <w:rPr>
          <w:rFonts w:eastAsia="Arial" w:cs="Arial"/>
          <w:i/>
        </w:rPr>
        <w:t xml:space="preserve">of 47 </w:t>
      </w:r>
      <w:r w:rsidR="000914F3" w:rsidRPr="00C17691">
        <w:rPr>
          <w:rFonts w:eastAsia="Arial" w:cs="Arial"/>
          <w:i/>
        </w:rPr>
        <w:t>to read as follows:]</w:t>
      </w:r>
    </w:p>
    <w:p w14:paraId="45288E2C" w14:textId="4A6EC887" w:rsidR="000914F3" w:rsidRPr="00C17691" w:rsidRDefault="000914F3" w:rsidP="000914F3">
      <w:pPr>
        <w:rPr>
          <w:rFonts w:eastAsia="Arial" w:cs="Arial"/>
          <w:b/>
        </w:rPr>
      </w:pPr>
      <w:r w:rsidRPr="00C17691">
        <w:rPr>
          <w:rFonts w:eastAsia="Arial" w:cs="Arial"/>
          <w:b/>
        </w:rPr>
        <w:t xml:space="preserve">47 </w:t>
      </w:r>
      <w:r w:rsidR="00935877">
        <w:rPr>
          <w:rFonts w:eastAsia="Arial" w:cs="Arial"/>
          <w:b/>
        </w:rPr>
        <w:t xml:space="preserve">Cigarettes, Smokeless Tobacco, and </w:t>
      </w:r>
      <w:r w:rsidR="001A62AA">
        <w:rPr>
          <w:rFonts w:eastAsia="Arial" w:cs="Arial"/>
          <w:b/>
        </w:rPr>
        <w:t>Electronic Nicotine Delivery Systems</w:t>
      </w:r>
    </w:p>
    <w:p w14:paraId="1730F402" w14:textId="77777777" w:rsidR="006321BE" w:rsidRPr="00C17691" w:rsidRDefault="006321BE" w:rsidP="006321BE">
      <w:pPr>
        <w:rPr>
          <w:rFonts w:eastAsia="Arial" w:cs="Arial"/>
        </w:rPr>
      </w:pPr>
      <w:r w:rsidRPr="00C17691">
        <w:rPr>
          <w:rFonts w:eastAsia="Arial" w:cs="Arial"/>
        </w:rPr>
        <w:t>*</w:t>
      </w:r>
      <w:r w:rsidRPr="00C17691">
        <w:rPr>
          <w:rFonts w:eastAsia="Arial" w:cs="Arial"/>
        </w:rPr>
        <w:tab/>
        <w:t>*</w:t>
      </w:r>
      <w:r w:rsidRPr="00C17691">
        <w:rPr>
          <w:rFonts w:eastAsia="Arial" w:cs="Arial"/>
        </w:rPr>
        <w:tab/>
        <w:t>*</w:t>
      </w:r>
      <w:r w:rsidRPr="00C17691">
        <w:rPr>
          <w:rFonts w:eastAsia="Arial" w:cs="Arial"/>
        </w:rPr>
        <w:tab/>
        <w:t>*</w:t>
      </w:r>
      <w:r w:rsidRPr="00C17691">
        <w:rPr>
          <w:rFonts w:eastAsia="Arial" w:cs="Arial"/>
        </w:rPr>
        <w:tab/>
        <w:t>*</w:t>
      </w:r>
    </w:p>
    <w:p w14:paraId="0ED06FA2" w14:textId="77777777" w:rsidR="00B169D4" w:rsidRPr="00B169D4" w:rsidRDefault="00B169D4" w:rsidP="006321BE">
      <w:pPr>
        <w:rPr>
          <w:rFonts w:eastAsia="Arial" w:cs="Arial"/>
          <w:b/>
          <w:bCs/>
          <w:iCs/>
        </w:rPr>
      </w:pPr>
      <w:r w:rsidRPr="00B169D4">
        <w:rPr>
          <w:rFonts w:eastAsia="Arial" w:cs="Arial"/>
          <w:b/>
          <w:bCs/>
          <w:iCs/>
        </w:rPr>
        <w:t>471 Definitions</w:t>
      </w:r>
    </w:p>
    <w:p w14:paraId="79A027A0" w14:textId="769F69AB" w:rsidR="006B6635" w:rsidRDefault="006B6635" w:rsidP="006321BE">
      <w:pPr>
        <w:rPr>
          <w:rFonts w:eastAsia="Arial" w:cs="Arial"/>
          <w:i/>
        </w:rPr>
      </w:pPr>
      <w:r>
        <w:rPr>
          <w:rFonts w:eastAsia="Arial" w:cs="Arial"/>
          <w:i/>
        </w:rPr>
        <w:t>[Revise the last sentence of 471.1</w:t>
      </w:r>
      <w:r w:rsidR="00516EBA">
        <w:rPr>
          <w:rFonts w:eastAsia="Arial" w:cs="Arial"/>
          <w:i/>
        </w:rPr>
        <w:t xml:space="preserve"> to read as follows:]</w:t>
      </w:r>
    </w:p>
    <w:p w14:paraId="75503D5B" w14:textId="4CC2208B" w:rsidR="00E52B79" w:rsidRPr="008C787E" w:rsidRDefault="008C787E" w:rsidP="006321BE">
      <w:pPr>
        <w:rPr>
          <w:rFonts w:eastAsia="Arial" w:cs="Arial"/>
          <w:b/>
          <w:bCs/>
          <w:iCs/>
        </w:rPr>
      </w:pPr>
      <w:r w:rsidRPr="008C787E">
        <w:rPr>
          <w:rFonts w:eastAsia="Arial" w:cs="Arial"/>
          <w:b/>
          <w:bCs/>
          <w:iCs/>
        </w:rPr>
        <w:t>471.1 Cigarette</w:t>
      </w:r>
    </w:p>
    <w:p w14:paraId="46F4B2DE" w14:textId="4E675A79" w:rsidR="006B6635" w:rsidRDefault="00A21878" w:rsidP="006321BE">
      <w:pPr>
        <w:rPr>
          <w:rFonts w:eastAsia="Arial" w:cs="Arial"/>
          <w:iCs/>
        </w:rPr>
      </w:pPr>
      <w:r>
        <w:rPr>
          <w:rFonts w:eastAsia="Arial" w:cs="Arial"/>
          <w:iCs/>
        </w:rPr>
        <w:t xml:space="preserve">* * * </w:t>
      </w:r>
      <w:r w:rsidR="00EC6C02" w:rsidRPr="00EC6C02">
        <w:rPr>
          <w:rFonts w:eastAsia="Arial" w:cs="Arial"/>
          <w:iCs/>
        </w:rPr>
        <w:t>The term cigarette includes roll-your-own tobacco and excludes cigars.</w:t>
      </w:r>
    </w:p>
    <w:p w14:paraId="7632531D" w14:textId="77777777" w:rsidR="00E64F0C" w:rsidRPr="00C17691" w:rsidRDefault="00E64F0C" w:rsidP="00E64F0C">
      <w:pPr>
        <w:rPr>
          <w:rFonts w:eastAsia="Arial" w:cs="Arial"/>
        </w:rPr>
      </w:pPr>
      <w:r w:rsidRPr="00C17691">
        <w:rPr>
          <w:rFonts w:eastAsia="Arial" w:cs="Arial"/>
        </w:rPr>
        <w:t>*</w:t>
      </w:r>
      <w:r w:rsidRPr="00C17691">
        <w:rPr>
          <w:rFonts w:eastAsia="Arial" w:cs="Arial"/>
        </w:rPr>
        <w:tab/>
        <w:t>*</w:t>
      </w:r>
      <w:r w:rsidRPr="00C17691">
        <w:rPr>
          <w:rFonts w:eastAsia="Arial" w:cs="Arial"/>
        </w:rPr>
        <w:tab/>
        <w:t>*</w:t>
      </w:r>
      <w:r w:rsidRPr="00C17691">
        <w:rPr>
          <w:rFonts w:eastAsia="Arial" w:cs="Arial"/>
        </w:rPr>
        <w:tab/>
        <w:t>*</w:t>
      </w:r>
      <w:r w:rsidRPr="00C17691">
        <w:rPr>
          <w:rFonts w:eastAsia="Arial" w:cs="Arial"/>
        </w:rPr>
        <w:tab/>
        <w:t>*</w:t>
      </w:r>
    </w:p>
    <w:p w14:paraId="62B2859D" w14:textId="29C76161" w:rsidR="00E64F0C" w:rsidRDefault="00E64F0C" w:rsidP="00E64F0C">
      <w:pPr>
        <w:rPr>
          <w:rFonts w:eastAsia="Arial" w:cs="Arial"/>
          <w:i/>
        </w:rPr>
      </w:pPr>
      <w:r>
        <w:rPr>
          <w:rFonts w:eastAsia="Arial" w:cs="Arial"/>
          <w:i/>
        </w:rPr>
        <w:t xml:space="preserve">[Revise the </w:t>
      </w:r>
      <w:r w:rsidR="00AA1002">
        <w:rPr>
          <w:rFonts w:eastAsia="Arial" w:cs="Arial"/>
          <w:i/>
        </w:rPr>
        <w:t xml:space="preserve">title </w:t>
      </w:r>
      <w:r>
        <w:rPr>
          <w:rFonts w:eastAsia="Arial" w:cs="Arial"/>
          <w:i/>
        </w:rPr>
        <w:t>of 471.</w:t>
      </w:r>
      <w:r w:rsidR="00AA1002">
        <w:rPr>
          <w:rFonts w:eastAsia="Arial" w:cs="Arial"/>
          <w:i/>
        </w:rPr>
        <w:t>4</w:t>
      </w:r>
      <w:r>
        <w:rPr>
          <w:rFonts w:eastAsia="Arial" w:cs="Arial"/>
          <w:i/>
        </w:rPr>
        <w:t xml:space="preserve"> to read as follows:]</w:t>
      </w:r>
    </w:p>
    <w:p w14:paraId="6E06B5F6" w14:textId="32960162" w:rsidR="008C787E" w:rsidRPr="00AA1002" w:rsidRDefault="00AA1002" w:rsidP="006321BE">
      <w:pPr>
        <w:rPr>
          <w:rFonts w:eastAsia="Arial" w:cs="Arial"/>
          <w:b/>
          <w:bCs/>
          <w:iCs/>
        </w:rPr>
      </w:pPr>
      <w:r w:rsidRPr="00AA1002">
        <w:rPr>
          <w:rFonts w:eastAsia="Arial" w:cs="Arial"/>
          <w:b/>
          <w:bCs/>
          <w:iCs/>
        </w:rPr>
        <w:t>471.4 Roll-Your-Own Tobacco</w:t>
      </w:r>
    </w:p>
    <w:p w14:paraId="36506A35" w14:textId="77777777" w:rsidR="00086D8D" w:rsidRPr="00C17691" w:rsidRDefault="00086D8D" w:rsidP="00086D8D">
      <w:pPr>
        <w:rPr>
          <w:rFonts w:eastAsia="Arial" w:cs="Arial"/>
        </w:rPr>
      </w:pPr>
      <w:r w:rsidRPr="00C17691">
        <w:rPr>
          <w:rFonts w:eastAsia="Arial" w:cs="Arial"/>
        </w:rPr>
        <w:t>*</w:t>
      </w:r>
      <w:r w:rsidRPr="00C17691">
        <w:rPr>
          <w:rFonts w:eastAsia="Arial" w:cs="Arial"/>
        </w:rPr>
        <w:tab/>
        <w:t>*</w:t>
      </w:r>
      <w:r w:rsidRPr="00C17691">
        <w:rPr>
          <w:rFonts w:eastAsia="Arial" w:cs="Arial"/>
        </w:rPr>
        <w:tab/>
        <w:t>*</w:t>
      </w:r>
      <w:r w:rsidRPr="00C17691">
        <w:rPr>
          <w:rFonts w:eastAsia="Arial" w:cs="Arial"/>
        </w:rPr>
        <w:tab/>
        <w:t>*</w:t>
      </w:r>
      <w:r w:rsidRPr="00C17691">
        <w:rPr>
          <w:rFonts w:eastAsia="Arial" w:cs="Arial"/>
        </w:rPr>
        <w:tab/>
        <w:t>*</w:t>
      </w:r>
    </w:p>
    <w:p w14:paraId="3FE31A55" w14:textId="25E02EB4" w:rsidR="000914F3" w:rsidRPr="00C17691" w:rsidRDefault="000914F3" w:rsidP="006321BE">
      <w:pPr>
        <w:rPr>
          <w:rFonts w:eastAsia="Arial" w:cs="Arial"/>
          <w:i/>
        </w:rPr>
      </w:pPr>
      <w:r w:rsidRPr="00C17691">
        <w:rPr>
          <w:rFonts w:eastAsia="Arial" w:cs="Arial"/>
          <w:i/>
        </w:rPr>
        <w:t>[</w:t>
      </w:r>
      <w:r w:rsidR="004B0692" w:rsidRPr="00C17691">
        <w:rPr>
          <w:rFonts w:eastAsia="Arial" w:cs="Arial"/>
          <w:i/>
        </w:rPr>
        <w:t>R</w:t>
      </w:r>
      <w:r w:rsidR="00756FD9" w:rsidRPr="00C17691">
        <w:rPr>
          <w:rFonts w:eastAsia="Arial" w:cs="Arial"/>
          <w:i/>
        </w:rPr>
        <w:t xml:space="preserve">enumber </w:t>
      </w:r>
      <w:r w:rsidR="004B0692" w:rsidRPr="00C17691">
        <w:rPr>
          <w:rFonts w:eastAsia="Arial" w:cs="Arial"/>
          <w:i/>
        </w:rPr>
        <w:t>471.</w:t>
      </w:r>
      <w:r w:rsidR="008B493C">
        <w:rPr>
          <w:rFonts w:eastAsia="Arial" w:cs="Arial"/>
          <w:i/>
        </w:rPr>
        <w:t>5</w:t>
      </w:r>
      <w:r w:rsidR="004B0692" w:rsidRPr="00C17691">
        <w:rPr>
          <w:rFonts w:eastAsia="Arial" w:cs="Arial"/>
          <w:i/>
        </w:rPr>
        <w:t xml:space="preserve"> through 471</w:t>
      </w:r>
      <w:r w:rsidR="009F6E35">
        <w:rPr>
          <w:rFonts w:eastAsia="Arial" w:cs="Arial"/>
          <w:i/>
        </w:rPr>
        <w:t>.</w:t>
      </w:r>
      <w:r w:rsidR="005B78D6">
        <w:rPr>
          <w:rFonts w:eastAsia="Arial" w:cs="Arial"/>
          <w:i/>
        </w:rPr>
        <w:t>6</w:t>
      </w:r>
      <w:r w:rsidR="004B0692" w:rsidRPr="00C17691">
        <w:rPr>
          <w:rFonts w:eastAsia="Arial" w:cs="Arial"/>
          <w:i/>
        </w:rPr>
        <w:t xml:space="preserve"> as </w:t>
      </w:r>
      <w:r w:rsidR="00756FD9" w:rsidRPr="00C17691">
        <w:rPr>
          <w:rFonts w:eastAsia="Arial" w:cs="Arial"/>
          <w:i/>
        </w:rPr>
        <w:t>471.</w:t>
      </w:r>
      <w:r w:rsidR="00A07593">
        <w:rPr>
          <w:rFonts w:eastAsia="Arial" w:cs="Arial"/>
          <w:i/>
        </w:rPr>
        <w:t>7</w:t>
      </w:r>
      <w:r w:rsidRPr="00C17691">
        <w:rPr>
          <w:rFonts w:eastAsia="Arial" w:cs="Arial"/>
          <w:i/>
        </w:rPr>
        <w:t xml:space="preserve"> thr</w:t>
      </w:r>
      <w:r w:rsidR="00756FD9" w:rsidRPr="00C17691">
        <w:rPr>
          <w:rFonts w:eastAsia="Arial" w:cs="Arial"/>
          <w:i/>
        </w:rPr>
        <w:t>ough</w:t>
      </w:r>
      <w:r w:rsidRPr="00C17691">
        <w:rPr>
          <w:rFonts w:eastAsia="Arial" w:cs="Arial"/>
          <w:i/>
        </w:rPr>
        <w:t xml:space="preserve"> 47</w:t>
      </w:r>
      <w:r w:rsidR="00756FD9" w:rsidRPr="00C17691">
        <w:rPr>
          <w:rFonts w:eastAsia="Arial" w:cs="Arial"/>
          <w:i/>
        </w:rPr>
        <w:t>1.</w:t>
      </w:r>
      <w:r w:rsidR="005B78D6">
        <w:rPr>
          <w:rFonts w:eastAsia="Arial" w:cs="Arial"/>
          <w:i/>
        </w:rPr>
        <w:t>8</w:t>
      </w:r>
      <w:r w:rsidR="004B0692" w:rsidRPr="00C17691">
        <w:rPr>
          <w:rFonts w:eastAsia="Arial" w:cs="Arial"/>
          <w:i/>
        </w:rPr>
        <w:t>, respectively, and insert after 471.</w:t>
      </w:r>
      <w:r w:rsidR="00A07593">
        <w:rPr>
          <w:rFonts w:eastAsia="Arial" w:cs="Arial"/>
          <w:i/>
        </w:rPr>
        <w:t>4</w:t>
      </w:r>
      <w:r w:rsidR="004B0692" w:rsidRPr="00C17691">
        <w:rPr>
          <w:rFonts w:eastAsia="Arial" w:cs="Arial"/>
          <w:i/>
        </w:rPr>
        <w:t xml:space="preserve"> the following</w:t>
      </w:r>
      <w:r w:rsidRPr="00C17691">
        <w:rPr>
          <w:rFonts w:eastAsia="Arial" w:cs="Arial"/>
          <w:i/>
        </w:rPr>
        <w:t>:]</w:t>
      </w:r>
    </w:p>
    <w:p w14:paraId="402FAC6D" w14:textId="77777777" w:rsidR="001A62AA" w:rsidRPr="001A62AA" w:rsidRDefault="001A62AA" w:rsidP="001A62AA">
      <w:pPr>
        <w:rPr>
          <w:rFonts w:eastAsia="Arial" w:cs="Arial"/>
          <w:b/>
          <w:bCs/>
        </w:rPr>
      </w:pPr>
      <w:r w:rsidRPr="001A62AA">
        <w:rPr>
          <w:rFonts w:eastAsia="Arial" w:cs="Arial"/>
          <w:b/>
          <w:bCs/>
        </w:rPr>
        <w:lastRenderedPageBreak/>
        <w:t xml:space="preserve">471.5 Electronic Nicotine Delivery System (ENDS) </w:t>
      </w:r>
    </w:p>
    <w:p w14:paraId="7FF69C26" w14:textId="77777777" w:rsidR="001A62AA" w:rsidRPr="001A62AA" w:rsidRDefault="001A62AA" w:rsidP="001A62AA">
      <w:pPr>
        <w:rPr>
          <w:rFonts w:eastAsia="Arial" w:cs="Arial"/>
        </w:rPr>
      </w:pPr>
      <w:r w:rsidRPr="001A62AA">
        <w:rPr>
          <w:rFonts w:eastAsia="Arial" w:cs="Arial"/>
        </w:rPr>
        <w:t>Any electronic device that, through an aerosolized solution, delivers nicotine, flavor, or any other substance to the user inhaling from the device. ENDS include but are not limited to, electronic cigarettes (e-cigarettes), electronic hookahs (e-hookahs), electronic cigars (e-cigars), vape pens, advanced refillable personal vaporizers, and electronic pipes. Any reference to ENDS also includes any component, liquid, part, or accessory of an ENDS device, regardless of whether the component, liquid, part, or accessory is sold or provided separately from the device.</w:t>
      </w:r>
    </w:p>
    <w:p w14:paraId="23867645" w14:textId="77777777" w:rsidR="001A62AA" w:rsidRPr="001A62AA" w:rsidRDefault="001A62AA" w:rsidP="001A62AA">
      <w:pPr>
        <w:rPr>
          <w:rFonts w:eastAsia="Arial" w:cs="Arial"/>
          <w:b/>
          <w:bCs/>
        </w:rPr>
      </w:pPr>
      <w:r w:rsidRPr="001A62AA">
        <w:rPr>
          <w:rFonts w:eastAsia="Arial" w:cs="Arial"/>
          <w:b/>
          <w:bCs/>
        </w:rPr>
        <w:t>471.6 Covered Product</w:t>
      </w:r>
    </w:p>
    <w:p w14:paraId="3F089426" w14:textId="77777777" w:rsidR="001A62AA" w:rsidRDefault="001A62AA" w:rsidP="001A62AA">
      <w:pPr>
        <w:rPr>
          <w:rFonts w:eastAsia="Arial" w:cs="Arial"/>
        </w:rPr>
      </w:pPr>
      <w:r w:rsidRPr="001A62AA">
        <w:rPr>
          <w:rFonts w:eastAsia="Arial" w:cs="Arial"/>
        </w:rPr>
        <w:t>For purposes of chapter 47, any cigarette, smokeless tobacco, or ENDS.</w:t>
      </w:r>
    </w:p>
    <w:p w14:paraId="6F4013E2" w14:textId="2BBAF9A9" w:rsidR="009D6750" w:rsidRPr="00C17691" w:rsidRDefault="009D6750" w:rsidP="001A62AA">
      <w:pPr>
        <w:rPr>
          <w:rFonts w:eastAsia="Arial" w:cs="Arial"/>
        </w:rPr>
      </w:pPr>
      <w:r w:rsidRPr="00C17691">
        <w:rPr>
          <w:rFonts w:eastAsia="Arial" w:cs="Arial"/>
        </w:rPr>
        <w:t>*</w:t>
      </w:r>
      <w:r w:rsidRPr="00C17691">
        <w:rPr>
          <w:rFonts w:eastAsia="Arial" w:cs="Arial"/>
        </w:rPr>
        <w:tab/>
        <w:t>*</w:t>
      </w:r>
      <w:r w:rsidRPr="00C17691">
        <w:rPr>
          <w:rFonts w:eastAsia="Arial" w:cs="Arial"/>
        </w:rPr>
        <w:tab/>
        <w:t>*</w:t>
      </w:r>
      <w:r w:rsidRPr="00C17691">
        <w:rPr>
          <w:rFonts w:eastAsia="Arial" w:cs="Arial"/>
        </w:rPr>
        <w:tab/>
        <w:t>*</w:t>
      </w:r>
      <w:r w:rsidRPr="00C17691">
        <w:rPr>
          <w:rFonts w:eastAsia="Arial" w:cs="Arial"/>
        </w:rPr>
        <w:tab/>
        <w:t>*</w:t>
      </w:r>
    </w:p>
    <w:p w14:paraId="3F79D889" w14:textId="573F3E02" w:rsidR="009D4844" w:rsidRDefault="00765265" w:rsidP="00C82398">
      <w:pPr>
        <w:rPr>
          <w:rFonts w:cs="Arial"/>
        </w:rPr>
      </w:pPr>
      <w:bookmarkStart w:id="57" w:name="wp1081165"/>
      <w:bookmarkStart w:id="58" w:name="9_5_1"/>
      <w:bookmarkStart w:id="59" w:name="wp1111330"/>
      <w:bookmarkStart w:id="60" w:name="wp1081167"/>
      <w:bookmarkStart w:id="61" w:name="9_5_2"/>
      <w:bookmarkStart w:id="62" w:name="wp1111344"/>
      <w:bookmarkStart w:id="63" w:name="wp1111348"/>
      <w:bookmarkStart w:id="64" w:name="9_5_2_a"/>
      <w:bookmarkStart w:id="65" w:name="wp1111349"/>
      <w:bookmarkStart w:id="66" w:name="9_5_2_b"/>
      <w:bookmarkStart w:id="67" w:name="wp1081171"/>
      <w:bookmarkStart w:id="68" w:name="9_5_3"/>
      <w:bookmarkStart w:id="69" w:name="wp1111369"/>
      <w:bookmarkStart w:id="70" w:name="wp1175031"/>
      <w:bookmarkStart w:id="71" w:name="ICECD6E20DF7911DEABE2801AC208AE10"/>
      <w:bookmarkStart w:id="72" w:name="ICEC3D133DF7911DEABE2801AC208AE10"/>
      <w:bookmarkStart w:id="73" w:name="SP;957e0000bdb05"/>
      <w:bookmarkStart w:id="74" w:name="ICECD9530DF7911DEABE2801AC208AE10"/>
      <w:bookmarkStart w:id="75" w:name="ICEC3D134DF7911DEABE2801AC208AE10"/>
      <w:bookmarkStart w:id="76" w:name="SP;d5a000005aa25"/>
      <w:bookmarkStart w:id="77" w:name="wp114023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Fonts w:cs="Arial"/>
          <w:i/>
          <w:iCs/>
        </w:rPr>
        <w:t>[Add after 471.8, as renumbered, the following:]</w:t>
      </w:r>
    </w:p>
    <w:p w14:paraId="488EBEFA" w14:textId="77777777" w:rsidR="003F01F8" w:rsidRPr="003F01F8" w:rsidRDefault="003F01F8" w:rsidP="003F01F8">
      <w:pPr>
        <w:rPr>
          <w:rFonts w:cs="Arial"/>
          <w:b/>
          <w:bCs/>
        </w:rPr>
      </w:pPr>
      <w:r w:rsidRPr="003F01F8">
        <w:rPr>
          <w:rFonts w:cs="Arial"/>
          <w:b/>
          <w:bCs/>
        </w:rPr>
        <w:t>471.9 Minimum Age</w:t>
      </w:r>
    </w:p>
    <w:p w14:paraId="27416293" w14:textId="6B13D1A1" w:rsidR="003F01F8" w:rsidRPr="003F01F8" w:rsidRDefault="003F01F8" w:rsidP="003F01F8">
      <w:pPr>
        <w:rPr>
          <w:rFonts w:cs="Arial"/>
          <w:u w:val="single"/>
        </w:rPr>
      </w:pPr>
      <w:r w:rsidRPr="003F01F8">
        <w:rPr>
          <w:rFonts w:cs="Arial"/>
        </w:rPr>
        <w:t>21 years of age (the federal minimum age for the sale or purchase of covered products), or such higher age that a state or municipality may impose for the legal sale or purchase of covered products at the place of acceptance or delivery, as appropriate.</w:t>
      </w:r>
      <w:r w:rsidRPr="003F01F8" w:rsidDel="00D8424F">
        <w:rPr>
          <w:rFonts w:cs="Arial"/>
          <w:u w:val="single"/>
        </w:rPr>
        <w:t xml:space="preserve"> </w:t>
      </w:r>
    </w:p>
    <w:p w14:paraId="303AAA2B" w14:textId="6ABCD1C3" w:rsidR="00765265" w:rsidRDefault="00FA4578" w:rsidP="00C82398">
      <w:pPr>
        <w:rPr>
          <w:rFonts w:cs="Arial"/>
        </w:rPr>
      </w:pPr>
      <w:r>
        <w:rPr>
          <w:rFonts w:cs="Arial"/>
        </w:rPr>
        <w:t>*</w:t>
      </w:r>
      <w:r>
        <w:rPr>
          <w:rFonts w:cs="Arial"/>
        </w:rPr>
        <w:tab/>
        <w:t>*</w:t>
      </w:r>
      <w:r>
        <w:rPr>
          <w:rFonts w:cs="Arial"/>
        </w:rPr>
        <w:tab/>
        <w:t>*</w:t>
      </w:r>
      <w:r>
        <w:rPr>
          <w:rFonts w:cs="Arial"/>
        </w:rPr>
        <w:tab/>
        <w:t>*</w:t>
      </w:r>
      <w:r>
        <w:rPr>
          <w:rFonts w:cs="Arial"/>
        </w:rPr>
        <w:tab/>
        <w:t>*</w:t>
      </w:r>
    </w:p>
    <w:p w14:paraId="68C81721" w14:textId="27B536BA" w:rsidR="00FA4578" w:rsidRDefault="00A9740C" w:rsidP="00C82398">
      <w:pPr>
        <w:rPr>
          <w:rFonts w:cs="Arial"/>
        </w:rPr>
      </w:pPr>
      <w:r>
        <w:rPr>
          <w:rFonts w:cs="Arial"/>
          <w:i/>
          <w:iCs/>
        </w:rPr>
        <w:t>[</w:t>
      </w:r>
      <w:r w:rsidR="00F059F5">
        <w:rPr>
          <w:rFonts w:cs="Arial"/>
          <w:i/>
          <w:iCs/>
        </w:rPr>
        <w:t>Revise</w:t>
      </w:r>
      <w:r>
        <w:rPr>
          <w:rFonts w:cs="Arial"/>
          <w:i/>
          <w:iCs/>
        </w:rPr>
        <w:t xml:space="preserve"> 472 </w:t>
      </w:r>
      <w:r w:rsidR="00F059F5">
        <w:rPr>
          <w:rFonts w:cs="Arial"/>
          <w:i/>
          <w:iCs/>
        </w:rPr>
        <w:t>to read as follows</w:t>
      </w:r>
      <w:r>
        <w:rPr>
          <w:rFonts w:cs="Arial"/>
          <w:i/>
          <w:iCs/>
        </w:rPr>
        <w:t>:]</w:t>
      </w:r>
    </w:p>
    <w:p w14:paraId="184BB969" w14:textId="6E013371" w:rsidR="00D53F40" w:rsidRPr="00D53F40" w:rsidRDefault="00D53F40" w:rsidP="00F059F5">
      <w:pPr>
        <w:rPr>
          <w:rFonts w:cs="Arial"/>
          <w:b/>
          <w:bCs/>
        </w:rPr>
      </w:pPr>
      <w:r w:rsidRPr="00D53F40">
        <w:rPr>
          <w:rFonts w:cs="Arial"/>
          <w:b/>
          <w:bCs/>
        </w:rPr>
        <w:t>472 Covered Products Generally Nonmailable</w:t>
      </w:r>
    </w:p>
    <w:p w14:paraId="32BB27F3" w14:textId="63FD908A" w:rsidR="00F059F5" w:rsidRPr="00F059F5" w:rsidRDefault="00F059F5" w:rsidP="00D53F40">
      <w:pPr>
        <w:rPr>
          <w:rFonts w:cs="Arial"/>
          <w:b/>
          <w:bCs/>
        </w:rPr>
      </w:pPr>
      <w:r>
        <w:rPr>
          <w:rFonts w:cs="Arial"/>
          <w:b/>
          <w:bCs/>
        </w:rPr>
        <w:t>472.1 General</w:t>
      </w:r>
    </w:p>
    <w:p w14:paraId="37FAECEA" w14:textId="2E54A331" w:rsidR="00721B77" w:rsidRDefault="00721B77" w:rsidP="00D53F40">
      <w:pPr>
        <w:rPr>
          <w:rFonts w:cs="Arial"/>
        </w:rPr>
      </w:pPr>
      <w:r>
        <w:rPr>
          <w:rFonts w:cs="Arial"/>
        </w:rPr>
        <w:t>The following</w:t>
      </w:r>
      <w:r w:rsidR="00D53F40" w:rsidRPr="00D53F40">
        <w:rPr>
          <w:rFonts w:cs="Arial"/>
        </w:rPr>
        <w:t xml:space="preserve"> are nonmailable</w:t>
      </w:r>
      <w:r>
        <w:rPr>
          <w:rFonts w:cs="Arial"/>
        </w:rPr>
        <w:t>:</w:t>
      </w:r>
    </w:p>
    <w:p w14:paraId="0CE6D4EF" w14:textId="77777777" w:rsidR="00721B77" w:rsidRDefault="00721B77" w:rsidP="00721B77">
      <w:pPr>
        <w:rPr>
          <w:rFonts w:cs="Arial"/>
        </w:rPr>
      </w:pPr>
      <w:r>
        <w:rPr>
          <w:rFonts w:cs="Arial"/>
        </w:rPr>
        <w:lastRenderedPageBreak/>
        <w:t>a.</w:t>
      </w:r>
      <w:r>
        <w:rPr>
          <w:rFonts w:cs="Arial"/>
        </w:rPr>
        <w:tab/>
        <w:t xml:space="preserve">Shipments of covered products described in 473.1.a </w:t>
      </w:r>
      <w:proofErr w:type="gramStart"/>
      <w:r>
        <w:rPr>
          <w:rFonts w:cs="Arial"/>
        </w:rPr>
        <w:t>through .</w:t>
      </w:r>
      <w:proofErr w:type="gramEnd"/>
      <w:r>
        <w:rPr>
          <w:rFonts w:cs="Arial"/>
        </w:rPr>
        <w:t>e.</w:t>
      </w:r>
    </w:p>
    <w:p w14:paraId="0E83945E" w14:textId="77777777" w:rsidR="00721B77" w:rsidRDefault="00721B77" w:rsidP="00721B77">
      <w:pPr>
        <w:rPr>
          <w:rFonts w:cs="Arial"/>
        </w:rPr>
      </w:pPr>
      <w:r>
        <w:rPr>
          <w:rFonts w:cs="Arial"/>
        </w:rPr>
        <w:t>b.</w:t>
      </w:r>
      <w:r>
        <w:rPr>
          <w:rFonts w:cs="Arial"/>
        </w:rPr>
        <w:tab/>
        <w:t xml:space="preserve">Shipments of covered products that are not described in 473.1.a </w:t>
      </w:r>
      <w:proofErr w:type="gramStart"/>
      <w:r>
        <w:rPr>
          <w:rFonts w:cs="Arial"/>
        </w:rPr>
        <w:t>through .e</w:t>
      </w:r>
      <w:proofErr w:type="gramEnd"/>
      <w:r>
        <w:rPr>
          <w:rFonts w:cs="Arial"/>
        </w:rPr>
        <w:t xml:space="preserve"> and that do not qualify for an exception under 473.2 through .6.</w:t>
      </w:r>
    </w:p>
    <w:p w14:paraId="5DD3440F" w14:textId="67E11868" w:rsidR="00721B77" w:rsidRDefault="00721B77" w:rsidP="00721B77">
      <w:pPr>
        <w:rPr>
          <w:rFonts w:cs="Arial"/>
        </w:rPr>
      </w:pPr>
      <w:r>
        <w:rPr>
          <w:rFonts w:cs="Arial"/>
        </w:rPr>
        <w:t>c.</w:t>
      </w:r>
      <w:r>
        <w:rPr>
          <w:rFonts w:cs="Arial"/>
        </w:rPr>
        <w:tab/>
        <w:t xml:space="preserve">Shipments of covered products that are not described in 473.1.a </w:t>
      </w:r>
      <w:proofErr w:type="gramStart"/>
      <w:r>
        <w:rPr>
          <w:rFonts w:cs="Arial"/>
        </w:rPr>
        <w:t>through .e</w:t>
      </w:r>
      <w:proofErr w:type="gramEnd"/>
      <w:r>
        <w:rPr>
          <w:rFonts w:cs="Arial"/>
        </w:rPr>
        <w:t xml:space="preserve"> and that would generally </w:t>
      </w:r>
      <w:r w:rsidRPr="00437943">
        <w:rPr>
          <w:rFonts w:cs="Arial"/>
        </w:rPr>
        <w:t>qualify for an exception</w:t>
      </w:r>
      <w:r w:rsidR="001931E5">
        <w:rPr>
          <w:rFonts w:cs="Arial"/>
        </w:rPr>
        <w:t xml:space="preserve"> under 473.2 through .6</w:t>
      </w:r>
      <w:r>
        <w:rPr>
          <w:rFonts w:cs="Arial"/>
        </w:rPr>
        <w:t>,</w:t>
      </w:r>
      <w:r w:rsidRPr="00437943">
        <w:rPr>
          <w:rFonts w:cs="Arial"/>
        </w:rPr>
        <w:t xml:space="preserve"> but </w:t>
      </w:r>
      <w:r>
        <w:rPr>
          <w:rFonts w:cs="Arial"/>
        </w:rPr>
        <w:t xml:space="preserve">for a failure </w:t>
      </w:r>
      <w:r w:rsidRPr="00437943">
        <w:rPr>
          <w:rFonts w:cs="Arial"/>
        </w:rPr>
        <w:t xml:space="preserve">to meet </w:t>
      </w:r>
      <w:r>
        <w:rPr>
          <w:rFonts w:cs="Arial"/>
        </w:rPr>
        <w:t xml:space="preserve">one or more </w:t>
      </w:r>
      <w:r w:rsidRPr="00437943">
        <w:rPr>
          <w:rFonts w:cs="Arial"/>
        </w:rPr>
        <w:t xml:space="preserve">conditions for </w:t>
      </w:r>
      <w:r>
        <w:rPr>
          <w:rFonts w:cs="Arial"/>
        </w:rPr>
        <w:t>th</w:t>
      </w:r>
      <w:r w:rsidR="001931E5">
        <w:rPr>
          <w:rFonts w:cs="Arial"/>
        </w:rPr>
        <w:t>e applicable</w:t>
      </w:r>
      <w:r>
        <w:rPr>
          <w:rFonts w:cs="Arial"/>
        </w:rPr>
        <w:t xml:space="preserve"> </w:t>
      </w:r>
      <w:r w:rsidRPr="00437943">
        <w:rPr>
          <w:rFonts w:cs="Arial"/>
        </w:rPr>
        <w:t>exception</w:t>
      </w:r>
      <w:r>
        <w:rPr>
          <w:rFonts w:cs="Arial"/>
        </w:rPr>
        <w:t>. For example, a recipient may fail to be verified as being of at least the minimum age (see 473.34.a, .</w:t>
      </w:r>
      <w:proofErr w:type="gramStart"/>
      <w:r>
        <w:rPr>
          <w:rFonts w:cs="Arial"/>
        </w:rPr>
        <w:t>44.a</w:t>
      </w:r>
      <w:proofErr w:type="gramEnd"/>
      <w:r>
        <w:rPr>
          <w:rFonts w:cs="Arial"/>
        </w:rPr>
        <w:t>, .54.a), or a Return Receipt may be absent or may lack the mailer’s eligibility number (see 473.32.b, .52.c).</w:t>
      </w:r>
    </w:p>
    <w:p w14:paraId="7A0C6522" w14:textId="75E5307C" w:rsidR="00721B77" w:rsidRPr="007515EF" w:rsidRDefault="00721B77" w:rsidP="00D53F40">
      <w:pPr>
        <w:rPr>
          <w:rFonts w:cs="Arial"/>
          <w:b/>
          <w:bCs/>
        </w:rPr>
      </w:pPr>
      <w:r>
        <w:rPr>
          <w:rFonts w:cs="Arial"/>
          <w:b/>
          <w:bCs/>
        </w:rPr>
        <w:t>472.2 Treatment of Nonmailable Covered Products</w:t>
      </w:r>
    </w:p>
    <w:p w14:paraId="1B875CF2" w14:textId="3CE2C182" w:rsidR="002505C6" w:rsidRPr="007515EF" w:rsidRDefault="002505C6" w:rsidP="00D53F40">
      <w:pPr>
        <w:rPr>
          <w:rFonts w:cs="Arial"/>
          <w:b/>
          <w:bCs/>
        </w:rPr>
      </w:pPr>
      <w:r>
        <w:rPr>
          <w:rFonts w:cs="Arial"/>
          <w:b/>
          <w:bCs/>
        </w:rPr>
        <w:t>472.21 Refusal of Acceptance and Transmission</w:t>
      </w:r>
    </w:p>
    <w:p w14:paraId="4EEB24EA" w14:textId="5220DC7E" w:rsidR="002505C6" w:rsidRDefault="00721B77" w:rsidP="00D53F40">
      <w:pPr>
        <w:rPr>
          <w:rFonts w:cs="Arial"/>
        </w:rPr>
      </w:pPr>
      <w:r w:rsidRPr="00D53F40">
        <w:rPr>
          <w:rFonts w:cs="Arial"/>
        </w:rPr>
        <w:t>The Postal Service will not accept</w:t>
      </w:r>
      <w:r w:rsidR="002505C6">
        <w:rPr>
          <w:rFonts w:cs="Arial"/>
        </w:rPr>
        <w:t xml:space="preserve">, forward, </w:t>
      </w:r>
      <w:r w:rsidRPr="00D53F40">
        <w:rPr>
          <w:rFonts w:cs="Arial"/>
        </w:rPr>
        <w:t xml:space="preserve">or deliver any package that it knows, or has reasonable cause to believe, contains nonmailable covered products. If the Postal Service reasonably suspects that a mailer is tendering nonmailable covered products, then the mailer bears the burden of proof in establishing eligibility to mail. </w:t>
      </w:r>
    </w:p>
    <w:p w14:paraId="389977FC" w14:textId="77777777" w:rsidR="002505C6" w:rsidRDefault="002505C6" w:rsidP="00D53F40">
      <w:pPr>
        <w:rPr>
          <w:rFonts w:cs="Arial"/>
          <w:b/>
          <w:bCs/>
        </w:rPr>
      </w:pPr>
      <w:r>
        <w:rPr>
          <w:rFonts w:cs="Arial"/>
          <w:b/>
          <w:bCs/>
        </w:rPr>
        <w:t>472.22 Seizure and Forfeiture</w:t>
      </w:r>
    </w:p>
    <w:p w14:paraId="2D871300" w14:textId="77777777" w:rsidR="002505C6" w:rsidRDefault="00D53F40" w:rsidP="00D53F40">
      <w:pPr>
        <w:rPr>
          <w:rFonts w:cs="Arial"/>
        </w:rPr>
      </w:pPr>
      <w:r w:rsidRPr="00D53F40">
        <w:rPr>
          <w:rFonts w:cs="Arial"/>
        </w:rPr>
        <w:t>Nonmailable covered products deposited in the mail are subject to seizure and forfeiture. Any nonmailable covered products seized and forfeited shall be destroyed or retained by the federal government for the detection or prosecution of crimes or related investigations and then destroyed.</w:t>
      </w:r>
    </w:p>
    <w:p w14:paraId="78712B53" w14:textId="3C8C97F3" w:rsidR="002505C6" w:rsidRPr="007515EF" w:rsidRDefault="002505C6" w:rsidP="00D53F40">
      <w:pPr>
        <w:rPr>
          <w:rFonts w:cs="Arial"/>
          <w:b/>
          <w:bCs/>
        </w:rPr>
      </w:pPr>
      <w:r>
        <w:rPr>
          <w:rFonts w:cs="Arial"/>
          <w:b/>
          <w:bCs/>
        </w:rPr>
        <w:t>472.23 Disposition of Nonmailable Covered Products Not Seized and Forfeited</w:t>
      </w:r>
    </w:p>
    <w:p w14:paraId="47B6788F" w14:textId="51B7B553" w:rsidR="002505C6" w:rsidRDefault="00721B77" w:rsidP="00D53F40">
      <w:pPr>
        <w:rPr>
          <w:rFonts w:cs="Arial"/>
        </w:rPr>
      </w:pPr>
      <w:r>
        <w:rPr>
          <w:rFonts w:cs="Arial"/>
        </w:rPr>
        <w:lastRenderedPageBreak/>
        <w:t>Any nonmailable covered products not seized and forfeited shall be handled in accordance with 216 and 414.</w:t>
      </w:r>
    </w:p>
    <w:p w14:paraId="185BAD33" w14:textId="733644AB" w:rsidR="002505C6" w:rsidRPr="007515EF" w:rsidRDefault="002505C6" w:rsidP="00D53F40">
      <w:pPr>
        <w:rPr>
          <w:rFonts w:cs="Arial"/>
          <w:b/>
          <w:bCs/>
        </w:rPr>
      </w:pPr>
      <w:r>
        <w:rPr>
          <w:rFonts w:cs="Arial"/>
          <w:b/>
          <w:bCs/>
        </w:rPr>
        <w:t>472.24 Penalties</w:t>
      </w:r>
    </w:p>
    <w:p w14:paraId="47A9D388" w14:textId="0FB40C0B" w:rsidR="00721B77" w:rsidRDefault="002505C6" w:rsidP="00D53F40">
      <w:pPr>
        <w:rPr>
          <w:rFonts w:cs="Arial"/>
        </w:rPr>
      </w:pPr>
      <w:r>
        <w:rPr>
          <w:rFonts w:cs="Arial"/>
        </w:rPr>
        <w:t xml:space="preserve">Persons involved in the shipment or attempted shipment of </w:t>
      </w:r>
      <w:r w:rsidR="00D53F40" w:rsidRPr="00D53F40">
        <w:rPr>
          <w:rFonts w:cs="Arial"/>
        </w:rPr>
        <w:t xml:space="preserve">nonmailable covered products may be subject to seizure and forfeiture of assets, criminal fines, imprisonment, and civil penalties. </w:t>
      </w:r>
    </w:p>
    <w:p w14:paraId="5924E28B" w14:textId="7481EFAB" w:rsidR="00721B77" w:rsidRPr="00140B3A" w:rsidRDefault="00721B77" w:rsidP="00721B77">
      <w:pPr>
        <w:rPr>
          <w:rFonts w:cs="Arial"/>
          <w:b/>
          <w:bCs/>
        </w:rPr>
      </w:pPr>
      <w:r>
        <w:rPr>
          <w:rFonts w:cs="Arial"/>
          <w:b/>
          <w:bCs/>
        </w:rPr>
        <w:t>472.3 Reasonable Cause to Suspect Covered Products</w:t>
      </w:r>
    </w:p>
    <w:p w14:paraId="2C14AA64" w14:textId="57B5D6E1" w:rsidR="00D53F40" w:rsidRPr="00D53F40" w:rsidRDefault="00D53F40" w:rsidP="00D53F40">
      <w:pPr>
        <w:rPr>
          <w:rFonts w:cs="Arial"/>
        </w:rPr>
      </w:pPr>
      <w:r w:rsidRPr="00D53F40">
        <w:rPr>
          <w:rFonts w:cs="Arial"/>
        </w:rPr>
        <w:t xml:space="preserve">Among any other potentially relevant circumstances, </w:t>
      </w:r>
      <w:r w:rsidR="00424FB7">
        <w:rPr>
          <w:rFonts w:cs="Arial"/>
        </w:rPr>
        <w:t>t</w:t>
      </w:r>
      <w:r w:rsidRPr="00D53F40">
        <w:rPr>
          <w:rFonts w:cs="Arial"/>
        </w:rPr>
        <w:t xml:space="preserve">he Postal Service has reasonable cause </w:t>
      </w:r>
      <w:r w:rsidR="002505C6">
        <w:rPr>
          <w:rFonts w:cs="Arial"/>
        </w:rPr>
        <w:t>to suspect the presence of covered products</w:t>
      </w:r>
      <w:r w:rsidRPr="00D53F40">
        <w:rPr>
          <w:rFonts w:cs="Arial"/>
        </w:rPr>
        <w:t xml:space="preserve"> based on: </w:t>
      </w:r>
    </w:p>
    <w:p w14:paraId="2FD98F7A" w14:textId="2EA02814" w:rsidR="00D53F40" w:rsidRPr="00EB6927" w:rsidRDefault="00EB6927" w:rsidP="00FE6779">
      <w:r>
        <w:t>a.</w:t>
      </w:r>
      <w:r>
        <w:tab/>
      </w:r>
      <w:r w:rsidR="00D53F40" w:rsidRPr="00EB6927">
        <w:t xml:space="preserve">A statement on a publicly available website, or an advertisement, by any person that the person will mail matter which is nonmailable under this section in return for </w:t>
      </w:r>
      <w:proofErr w:type="gramStart"/>
      <w:r w:rsidR="00D53F40" w:rsidRPr="00EB6927">
        <w:t>payment;</w:t>
      </w:r>
      <w:proofErr w:type="gramEnd"/>
    </w:p>
    <w:p w14:paraId="48620A4B" w14:textId="637BE53A" w:rsidR="00D53F40" w:rsidRPr="00EB6927" w:rsidRDefault="00EB6927" w:rsidP="00FE6779">
      <w:r>
        <w:t>b.</w:t>
      </w:r>
      <w:r>
        <w:tab/>
      </w:r>
      <w:r w:rsidR="00D53F40" w:rsidRPr="00EB6927">
        <w:t>The fact that the mailer or other person on whose behalf a mailing is being made is on the U.S. Attorney General’s List of Unregistered or Noncompliant Delivery Sellers; or</w:t>
      </w:r>
    </w:p>
    <w:p w14:paraId="4C3658DA" w14:textId="507CEC74" w:rsidR="00C979D5" w:rsidRPr="00E51291" w:rsidRDefault="00EB6927" w:rsidP="00C979D5">
      <w:r>
        <w:t>c.</w:t>
      </w:r>
      <w:r>
        <w:tab/>
      </w:r>
      <w:r w:rsidR="00D53F40" w:rsidRPr="00EB6927">
        <w:t>Any other characteristics of a package or label, individually or in combination with other packages or labels, that reasonably indicate the likely presence of covered products.</w:t>
      </w:r>
    </w:p>
    <w:p w14:paraId="352B74EC" w14:textId="76016CA6" w:rsidR="00D53F40" w:rsidRPr="00D53F40" w:rsidRDefault="007A3B34" w:rsidP="007A3B34">
      <w:pPr>
        <w:rPr>
          <w:rFonts w:cs="Arial"/>
          <w:b/>
          <w:bCs/>
        </w:rPr>
      </w:pPr>
      <w:r>
        <w:rPr>
          <w:rFonts w:cs="Arial"/>
          <w:b/>
          <w:bCs/>
        </w:rPr>
        <w:t>4</w:t>
      </w:r>
      <w:r w:rsidR="00D53F40" w:rsidRPr="00D53F40">
        <w:rPr>
          <w:rFonts w:cs="Arial"/>
          <w:b/>
          <w:bCs/>
        </w:rPr>
        <w:t>72.</w:t>
      </w:r>
      <w:r w:rsidR="00721B77">
        <w:rPr>
          <w:rFonts w:cs="Arial"/>
          <w:b/>
          <w:bCs/>
        </w:rPr>
        <w:t>4</w:t>
      </w:r>
      <w:r w:rsidR="00D53F40" w:rsidRPr="00D53F40">
        <w:rPr>
          <w:rFonts w:cs="Arial"/>
          <w:b/>
          <w:bCs/>
        </w:rPr>
        <w:t xml:space="preserve"> Applicability of Other Laws and Regulations</w:t>
      </w:r>
    </w:p>
    <w:p w14:paraId="5F314000" w14:textId="183B2AC9" w:rsidR="00D53F40" w:rsidRPr="00D53F40" w:rsidRDefault="00D53F40" w:rsidP="00D53F40">
      <w:pPr>
        <w:rPr>
          <w:rFonts w:cs="Arial"/>
        </w:rPr>
      </w:pPr>
      <w:r w:rsidRPr="00D53F40">
        <w:rPr>
          <w:rFonts w:cs="Arial"/>
        </w:rPr>
        <w:t xml:space="preserve">Shipments permitted under 473 are subject to all other applicable federal, state, and local laws and regulations. For example, ENDS that consist of or contain controlled substances (including cannabis and cannabis derivatives), drug paraphernalia, lithium batteries, liquids, or any toxic or flammable substance </w:t>
      </w:r>
      <w:r w:rsidRPr="00D53F40">
        <w:rPr>
          <w:rFonts w:cs="Arial"/>
        </w:rPr>
        <w:lastRenderedPageBreak/>
        <w:t>(e.g., nicotine, diacetyl (butane</w:t>
      </w:r>
      <w:r w:rsidR="007A3B34">
        <w:rPr>
          <w:rFonts w:cs="Arial"/>
        </w:rPr>
        <w:t>-2,3-</w:t>
      </w:r>
      <w:r w:rsidRPr="00D53F40">
        <w:rPr>
          <w:rFonts w:cs="Arial"/>
        </w:rPr>
        <w:t>dione), propanol, and other components of ENDS liquids) may be subject to prohibitions, restrictions, or additional requirements stated elsewhere in this publication. Mailers, recipients, and applicants are solely responsible for complying with all applicable Postal Service regulations and other federal, state, and local laws when mailing covered products.</w:t>
      </w:r>
    </w:p>
    <w:p w14:paraId="30A5C287" w14:textId="2FB20043" w:rsidR="00D53F40" w:rsidRPr="00D53F40" w:rsidRDefault="00D53F40" w:rsidP="00D53F40">
      <w:pPr>
        <w:rPr>
          <w:rFonts w:cs="Arial"/>
          <w:b/>
          <w:bCs/>
        </w:rPr>
      </w:pPr>
      <w:r w:rsidRPr="00D53F40">
        <w:rPr>
          <w:rFonts w:cs="Arial"/>
          <w:b/>
          <w:bCs/>
        </w:rPr>
        <w:t>472.</w:t>
      </w:r>
      <w:r w:rsidR="00721B77">
        <w:rPr>
          <w:rFonts w:cs="Arial"/>
          <w:b/>
          <w:bCs/>
        </w:rPr>
        <w:t>5</w:t>
      </w:r>
      <w:r w:rsidRPr="00D53F40">
        <w:rPr>
          <w:rFonts w:cs="Arial"/>
          <w:b/>
          <w:bCs/>
        </w:rPr>
        <w:t xml:space="preserve"> Recordkeeping</w:t>
      </w:r>
    </w:p>
    <w:p w14:paraId="58CF3698" w14:textId="3A74F362" w:rsidR="00437943" w:rsidRPr="00437943" w:rsidRDefault="00D53F40" w:rsidP="00D53F40">
      <w:pPr>
        <w:rPr>
          <w:rFonts w:cs="Arial"/>
        </w:rPr>
      </w:pPr>
      <w:r w:rsidRPr="00D53F40">
        <w:rPr>
          <w:rFonts w:cs="Arial"/>
        </w:rPr>
        <w:t>Mailers, recipients, and applicants must maintain records to establish compliance with the requirements in 473 for a 6-year period and must make such records available to the Postal Service upon request.</w:t>
      </w:r>
    </w:p>
    <w:p w14:paraId="156165A2" w14:textId="737F5A5D" w:rsidR="00E70D63" w:rsidRDefault="00E70D63" w:rsidP="00D53F40">
      <w:pPr>
        <w:rPr>
          <w:rFonts w:cs="Arial"/>
        </w:rPr>
      </w:pPr>
      <w:r>
        <w:rPr>
          <w:rFonts w:cs="Arial"/>
        </w:rPr>
        <w:t>*</w:t>
      </w:r>
      <w:r>
        <w:rPr>
          <w:rFonts w:cs="Arial"/>
        </w:rPr>
        <w:tab/>
        <w:t>*</w:t>
      </w:r>
      <w:r>
        <w:rPr>
          <w:rFonts w:cs="Arial"/>
        </w:rPr>
        <w:tab/>
        <w:t>*</w:t>
      </w:r>
      <w:r>
        <w:rPr>
          <w:rFonts w:cs="Arial"/>
        </w:rPr>
        <w:tab/>
        <w:t>*</w:t>
      </w:r>
      <w:r>
        <w:rPr>
          <w:rFonts w:cs="Arial"/>
        </w:rPr>
        <w:tab/>
        <w:t>*</w:t>
      </w:r>
    </w:p>
    <w:p w14:paraId="77BA9792" w14:textId="5E134EE4" w:rsidR="00E70D63" w:rsidRPr="00D53F40" w:rsidRDefault="00E70D63" w:rsidP="00D53F40">
      <w:pPr>
        <w:rPr>
          <w:rFonts w:cs="Arial"/>
          <w:i/>
          <w:iCs/>
        </w:rPr>
      </w:pPr>
      <w:r>
        <w:rPr>
          <w:rFonts w:cs="Arial"/>
          <w:i/>
          <w:iCs/>
        </w:rPr>
        <w:t>[Insert after 472 the following:]</w:t>
      </w:r>
    </w:p>
    <w:p w14:paraId="297DEC6B" w14:textId="77777777" w:rsidR="00D53F40" w:rsidRPr="00D53F40" w:rsidRDefault="00D53F40" w:rsidP="000206F2">
      <w:pPr>
        <w:rPr>
          <w:rFonts w:cs="Arial"/>
          <w:b/>
          <w:bCs/>
        </w:rPr>
      </w:pPr>
      <w:r w:rsidRPr="00D53F40">
        <w:rPr>
          <w:rFonts w:cs="Arial"/>
          <w:b/>
          <w:bCs/>
        </w:rPr>
        <w:t xml:space="preserve">473 </w:t>
      </w:r>
      <w:bookmarkStart w:id="78" w:name="ep347208"/>
      <w:r w:rsidRPr="00D53F40">
        <w:rPr>
          <w:rFonts w:cs="Arial"/>
          <w:b/>
          <w:bCs/>
        </w:rPr>
        <w:t xml:space="preserve">Mailability Exceptions </w:t>
      </w:r>
      <w:bookmarkEnd w:id="78"/>
    </w:p>
    <w:p w14:paraId="14EF1749" w14:textId="64500B19" w:rsidR="00124B01" w:rsidRPr="00FE6779" w:rsidRDefault="00124B01" w:rsidP="00D53F40">
      <w:pPr>
        <w:rPr>
          <w:rFonts w:cs="Arial"/>
          <w:b/>
          <w:bCs/>
        </w:rPr>
      </w:pPr>
      <w:bookmarkStart w:id="79" w:name="ep347209"/>
      <w:r>
        <w:rPr>
          <w:rFonts w:cs="Arial"/>
          <w:b/>
          <w:bCs/>
        </w:rPr>
        <w:t>473.1 Scope of Exceptions</w:t>
      </w:r>
    </w:p>
    <w:p w14:paraId="5EE380F6" w14:textId="28881AE5" w:rsidR="00D53F40" w:rsidRPr="00D53F40" w:rsidRDefault="00D53F40" w:rsidP="00D53F40">
      <w:pPr>
        <w:rPr>
          <w:rFonts w:cs="Arial"/>
        </w:rPr>
      </w:pPr>
      <w:r w:rsidRPr="00D53F40">
        <w:rPr>
          <w:rFonts w:cs="Arial"/>
        </w:rPr>
        <w:t xml:space="preserve">Covered products are mailable if one of the conditions in </w:t>
      </w:r>
      <w:bookmarkEnd w:id="79"/>
      <w:r w:rsidRPr="00D53F40">
        <w:rPr>
          <w:rFonts w:cs="Arial"/>
        </w:rPr>
        <w:t>473.</w:t>
      </w:r>
      <w:r w:rsidR="00124B01">
        <w:rPr>
          <w:rFonts w:cs="Arial"/>
        </w:rPr>
        <w:t>2</w:t>
      </w:r>
      <w:r w:rsidRPr="00D53F40">
        <w:rPr>
          <w:rFonts w:cs="Arial"/>
        </w:rPr>
        <w:t xml:space="preserve"> through 473.</w:t>
      </w:r>
      <w:r w:rsidR="00124B01">
        <w:rPr>
          <w:rFonts w:cs="Arial"/>
        </w:rPr>
        <w:t>6</w:t>
      </w:r>
      <w:r w:rsidRPr="00D53F40">
        <w:rPr>
          <w:rFonts w:cs="Arial"/>
        </w:rPr>
        <w:t xml:space="preserve"> is met. These exceptions do not apply to the following: </w:t>
      </w:r>
    </w:p>
    <w:p w14:paraId="58D75121" w14:textId="204DC3C7" w:rsidR="00D53F40" w:rsidRPr="00EB6927" w:rsidRDefault="00EB6927" w:rsidP="00FE6779">
      <w:bookmarkStart w:id="80" w:name="ep347210"/>
      <w:r>
        <w:t>a.</w:t>
      </w:r>
      <w:r>
        <w:tab/>
      </w:r>
      <w:r w:rsidR="00D53F40" w:rsidRPr="00EB6927">
        <w:t>Mail treated as domestic under DMM 608.2.2.</w:t>
      </w:r>
      <w:bookmarkEnd w:id="80"/>
    </w:p>
    <w:p w14:paraId="04DD23F3" w14:textId="453EF7BD" w:rsidR="00124B01" w:rsidRPr="00E51291" w:rsidRDefault="00EB6927" w:rsidP="008627D2">
      <w:bookmarkStart w:id="81" w:name="ep347211"/>
      <w:r>
        <w:t>b.</w:t>
      </w:r>
      <w:r>
        <w:tab/>
      </w:r>
      <w:r w:rsidR="008627D2">
        <w:t>M</w:t>
      </w:r>
      <w:r w:rsidR="00124B01">
        <w:t>ail sent to Air</w:t>
      </w:r>
      <w:r w:rsidR="00B86577">
        <w:t>/Army</w:t>
      </w:r>
      <w:r w:rsidR="00124B01">
        <w:t xml:space="preserve"> Post Office (APO)</w:t>
      </w:r>
      <w:r w:rsidR="008627D2">
        <w:t xml:space="preserve">, </w:t>
      </w:r>
      <w:r w:rsidR="00124B01">
        <w:t>Fleet Post Office (FPO)</w:t>
      </w:r>
      <w:r w:rsidR="008627D2">
        <w:t>, or Diplomatic Post Office (DPO)</w:t>
      </w:r>
      <w:r w:rsidR="00124B01">
        <w:t xml:space="preserve"> addresses.</w:t>
      </w:r>
    </w:p>
    <w:p w14:paraId="27561DCB" w14:textId="0403DE52" w:rsidR="00D53F40" w:rsidRPr="00EB6927" w:rsidRDefault="008627D2" w:rsidP="00FE6779">
      <w:bookmarkStart w:id="82" w:name="ep347212"/>
      <w:bookmarkEnd w:id="81"/>
      <w:r>
        <w:t>c</w:t>
      </w:r>
      <w:r w:rsidR="00EB6927">
        <w:t>.</w:t>
      </w:r>
      <w:r w:rsidR="00EB6927">
        <w:tab/>
      </w:r>
      <w:r w:rsidR="007B18DB">
        <w:t>M</w:t>
      </w:r>
      <w:r w:rsidR="00D53F40" w:rsidRPr="00EB6927">
        <w:t xml:space="preserve">ail presented at APO, FPO, or DPO installations </w:t>
      </w:r>
      <w:r w:rsidR="00124B01">
        <w:t xml:space="preserve">and </w:t>
      </w:r>
      <w:r w:rsidR="00D53F40" w:rsidRPr="00EB6927">
        <w:t xml:space="preserve">destined to addresses in the United States. </w:t>
      </w:r>
      <w:bookmarkEnd w:id="82"/>
    </w:p>
    <w:p w14:paraId="161B20D4" w14:textId="235F054D" w:rsidR="007164FA" w:rsidRDefault="008627D2" w:rsidP="00FE6779">
      <w:r>
        <w:t>d</w:t>
      </w:r>
      <w:r w:rsidR="00EB6927">
        <w:t>.</w:t>
      </w:r>
      <w:r w:rsidR="00EB6927">
        <w:tab/>
      </w:r>
      <w:r w:rsidR="007164FA" w:rsidRPr="00EB6927">
        <w:t>International mail as defined in DMM 608.2.3.</w:t>
      </w:r>
    </w:p>
    <w:p w14:paraId="34BF014D" w14:textId="0761CD03" w:rsidR="004256D2" w:rsidRPr="00EB6927" w:rsidRDefault="008627D2" w:rsidP="00254520">
      <w:r>
        <w:lastRenderedPageBreak/>
        <w:t>e</w:t>
      </w:r>
      <w:r w:rsidR="004256D2">
        <w:t>.</w:t>
      </w:r>
      <w:r w:rsidR="004256D2">
        <w:tab/>
        <w:t>Mail presented outside of a face-to-face transaction with a Postal Service employee</w:t>
      </w:r>
      <w:r w:rsidR="00254520">
        <w:t xml:space="preserve"> at a Postal Service retail or business mail acceptance location</w:t>
      </w:r>
      <w:r w:rsidR="004256D2">
        <w:t xml:space="preserve">. Examples </w:t>
      </w:r>
      <w:r w:rsidR="00254520">
        <w:t xml:space="preserve">of prohibited entry methods </w:t>
      </w:r>
      <w:r w:rsidR="004256D2">
        <w:t>include, but are not limited to, Pickup on Demand</w:t>
      </w:r>
      <w:r w:rsidR="00254520">
        <w:t>;</w:t>
      </w:r>
      <w:r w:rsidR="004256D2">
        <w:t xml:space="preserve"> package pickup</w:t>
      </w:r>
      <w:r w:rsidR="00254520">
        <w:t>;</w:t>
      </w:r>
      <w:r w:rsidR="004256D2">
        <w:t xml:space="preserve"> an Approved Shipper location</w:t>
      </w:r>
      <w:r w:rsidR="00254520">
        <w:t xml:space="preserve"> or other third-party acceptance location;</w:t>
      </w:r>
      <w:r w:rsidR="004256D2">
        <w:t xml:space="preserve"> </w:t>
      </w:r>
      <w:r w:rsidR="00254520">
        <w:t>a Contract Postal Unit;</w:t>
      </w:r>
      <w:r>
        <w:t xml:space="preserve"> a Village Post Office;</w:t>
      </w:r>
      <w:r w:rsidR="00254520">
        <w:t xml:space="preserve"> and</w:t>
      </w:r>
      <w:r w:rsidR="004256D2">
        <w:t xml:space="preserve"> </w:t>
      </w:r>
      <w:r>
        <w:t xml:space="preserve">placement </w:t>
      </w:r>
      <w:r w:rsidR="00254520">
        <w:t xml:space="preserve">in </w:t>
      </w:r>
      <w:r w:rsidR="004256D2">
        <w:t xml:space="preserve">a customer mailbox, collection box, or </w:t>
      </w:r>
      <w:r w:rsidR="00CB7695">
        <w:t xml:space="preserve">Postal Service </w:t>
      </w:r>
      <w:r w:rsidR="004256D2">
        <w:t>lobby drop.</w:t>
      </w:r>
    </w:p>
    <w:p w14:paraId="2DC1C9A4" w14:textId="7D2C807F" w:rsidR="00D53F40" w:rsidRPr="00D53F40" w:rsidRDefault="00D53F40" w:rsidP="00D53F40">
      <w:pPr>
        <w:rPr>
          <w:rFonts w:cs="Arial"/>
          <w:b/>
          <w:bCs/>
        </w:rPr>
      </w:pPr>
      <w:r w:rsidRPr="00D53F40">
        <w:rPr>
          <w:rFonts w:cs="Arial"/>
          <w:b/>
          <w:bCs/>
        </w:rPr>
        <w:t>473.</w:t>
      </w:r>
      <w:r w:rsidR="00124B01">
        <w:rPr>
          <w:rFonts w:cs="Arial"/>
          <w:b/>
          <w:bCs/>
        </w:rPr>
        <w:t>2</w:t>
      </w:r>
      <w:r w:rsidRPr="00D53F40">
        <w:rPr>
          <w:rFonts w:cs="Arial"/>
          <w:b/>
          <w:bCs/>
        </w:rPr>
        <w:t xml:space="preserve"> </w:t>
      </w:r>
      <w:r w:rsidR="007B18DB">
        <w:rPr>
          <w:rFonts w:cs="Arial"/>
          <w:b/>
          <w:bCs/>
        </w:rPr>
        <w:t xml:space="preserve">Intra-Alaska and Intra-Hawaii </w:t>
      </w:r>
      <w:r w:rsidR="004256D2">
        <w:rPr>
          <w:rFonts w:cs="Arial"/>
          <w:b/>
          <w:bCs/>
        </w:rPr>
        <w:t>Shipments</w:t>
      </w:r>
    </w:p>
    <w:p w14:paraId="7E616AB2" w14:textId="44775B21" w:rsidR="00D53F40" w:rsidRPr="00D53F40" w:rsidRDefault="00D53F40" w:rsidP="00D53F40">
      <w:pPr>
        <w:rPr>
          <w:rFonts w:cs="Arial"/>
        </w:rPr>
      </w:pPr>
      <w:bookmarkStart w:id="83" w:name="ep347214"/>
      <w:r w:rsidRPr="00D53F40">
        <w:rPr>
          <w:rFonts w:cs="Arial"/>
        </w:rPr>
        <w:t xml:space="preserve">Intra-Alaska and intra-Hawaii shipments of covered products are mailable, provided that such mailings: </w:t>
      </w:r>
      <w:bookmarkEnd w:id="83"/>
    </w:p>
    <w:p w14:paraId="7A4731DC" w14:textId="5045D2E0" w:rsidR="00D53F40" w:rsidRPr="00D33874" w:rsidRDefault="00D33874" w:rsidP="00FE6779">
      <w:bookmarkStart w:id="84" w:name="ep347215"/>
      <w:r>
        <w:t>a.</w:t>
      </w:r>
      <w:r>
        <w:tab/>
      </w:r>
      <w:r w:rsidR="00D53F40" w:rsidRPr="00D33874">
        <w:t>Are presented in a face-to-face transaction with a Postal Service employee within the state</w:t>
      </w:r>
      <w:r w:rsidR="009430D7">
        <w:t xml:space="preserve">, and not through any entry method prohibited under </w:t>
      </w:r>
      <w:proofErr w:type="gramStart"/>
      <w:r w:rsidR="009430D7">
        <w:t>473.1.e</w:t>
      </w:r>
      <w:r w:rsidR="00D53F40" w:rsidRPr="00D33874">
        <w:t>;</w:t>
      </w:r>
      <w:proofErr w:type="gramEnd"/>
      <w:r w:rsidR="00D53F40" w:rsidRPr="00D33874">
        <w:t xml:space="preserve"> </w:t>
      </w:r>
      <w:bookmarkEnd w:id="84"/>
    </w:p>
    <w:p w14:paraId="1850C73A" w14:textId="1163E982" w:rsidR="00D53F40" w:rsidRPr="00D33874" w:rsidRDefault="00D33874" w:rsidP="00FE6779">
      <w:bookmarkStart w:id="85" w:name="ep347216"/>
      <w:r>
        <w:t>b.</w:t>
      </w:r>
      <w:r>
        <w:tab/>
      </w:r>
      <w:r w:rsidR="00D53F40" w:rsidRPr="00D33874">
        <w:t xml:space="preserve">Destinate in the same state of </w:t>
      </w:r>
      <w:proofErr w:type="gramStart"/>
      <w:r w:rsidR="00D53F40" w:rsidRPr="00D33874">
        <w:t>origin;</w:t>
      </w:r>
      <w:proofErr w:type="gramEnd"/>
      <w:r w:rsidR="00D53F40" w:rsidRPr="00D33874">
        <w:t xml:space="preserve"> </w:t>
      </w:r>
      <w:bookmarkEnd w:id="85"/>
    </w:p>
    <w:p w14:paraId="6DF7AAC0" w14:textId="6BBD17B8" w:rsidR="00D53F40" w:rsidRPr="00D33874" w:rsidRDefault="00D33874" w:rsidP="00FE6779">
      <w:bookmarkStart w:id="86" w:name="ep347217"/>
      <w:r>
        <w:t>c.</w:t>
      </w:r>
      <w:r>
        <w:tab/>
      </w:r>
      <w:r w:rsidR="00D53F40" w:rsidRPr="00D33874">
        <w:t xml:space="preserve">Bear a valid complete return address that is within the state of origin; and, </w:t>
      </w:r>
      <w:bookmarkEnd w:id="86"/>
    </w:p>
    <w:p w14:paraId="515E67CF" w14:textId="0A5E477A" w:rsidR="00D53F40" w:rsidRPr="00E51291" w:rsidRDefault="00D33874" w:rsidP="00FE6779">
      <w:bookmarkStart w:id="87" w:name="ep347218"/>
      <w:r>
        <w:t>d.</w:t>
      </w:r>
      <w:r>
        <w:tab/>
      </w:r>
      <w:r w:rsidR="00D53F40" w:rsidRPr="00D33874">
        <w:t>Are marked with the following exterior marking on the address side of the mailpiece, with th</w:t>
      </w:r>
      <w:r w:rsidR="00D53F40" w:rsidRPr="00E51291">
        <w:t>e relevant type of item selected: “INTRASTATE SHIPMENT OF [CIGARETTES/SMOKELESS TOBACCO/ENDS].”</w:t>
      </w:r>
      <w:bookmarkEnd w:id="87"/>
    </w:p>
    <w:p w14:paraId="2DC144F2" w14:textId="6E42A3F3" w:rsidR="00D53F40" w:rsidRPr="00D53F40" w:rsidRDefault="00D53F40" w:rsidP="00D53F40">
      <w:pPr>
        <w:rPr>
          <w:rFonts w:cs="Arial"/>
          <w:b/>
          <w:bCs/>
        </w:rPr>
      </w:pPr>
      <w:bookmarkStart w:id="88" w:name="_Hlk71838771"/>
      <w:r w:rsidRPr="00D53F40">
        <w:rPr>
          <w:rFonts w:cs="Arial"/>
          <w:b/>
          <w:bCs/>
        </w:rPr>
        <w:t>473.</w:t>
      </w:r>
      <w:r w:rsidR="00124B01">
        <w:rPr>
          <w:rFonts w:cs="Arial"/>
          <w:b/>
          <w:bCs/>
        </w:rPr>
        <w:t>3</w:t>
      </w:r>
      <w:r w:rsidRPr="00D53F40">
        <w:rPr>
          <w:rFonts w:cs="Arial"/>
          <w:b/>
          <w:bCs/>
        </w:rPr>
        <w:t xml:space="preserve"> </w:t>
      </w:r>
      <w:bookmarkStart w:id="89" w:name="ep347219"/>
      <w:r w:rsidRPr="00D53F40">
        <w:rPr>
          <w:rFonts w:cs="Arial"/>
          <w:b/>
          <w:bCs/>
        </w:rPr>
        <w:t xml:space="preserve">Exception for Business/Regulatory Purposes </w:t>
      </w:r>
      <w:bookmarkEnd w:id="89"/>
    </w:p>
    <w:p w14:paraId="6A7EBC19" w14:textId="72B76ED3" w:rsidR="00D53F40" w:rsidRPr="00D53F40" w:rsidRDefault="00D53F40" w:rsidP="00D53F40">
      <w:pPr>
        <w:rPr>
          <w:rFonts w:cs="Arial"/>
        </w:rPr>
      </w:pPr>
      <w:bookmarkStart w:id="90" w:name="ep347220"/>
      <w:r w:rsidRPr="00D53F40">
        <w:rPr>
          <w:rFonts w:cs="Arial"/>
        </w:rPr>
        <w:t>Eligibility to mail and to receive mail under the business/regulatory purposes exception is limited to federal and state government agencies and legally operating businesses that have all applicable state and federal government licenses or permits and are engaged in the manufacturing, distribution, wholesale, export, import, testing, investigation, or research of covered products.</w:t>
      </w:r>
      <w:r w:rsidR="00B32BA1">
        <w:rPr>
          <w:rFonts w:cs="Arial"/>
        </w:rPr>
        <w:t xml:space="preserve"> </w:t>
      </w:r>
      <w:r w:rsidR="00B32BA1">
        <w:rPr>
          <w:rFonts w:cs="Arial"/>
        </w:rPr>
        <w:lastRenderedPageBreak/>
        <w:t>Mailings under this exception are permitted only for business purposes between eligible businesses or for regulatory purposes between such businesses and eligible government agencies.</w:t>
      </w:r>
      <w:r w:rsidRPr="00D53F40">
        <w:rPr>
          <w:rFonts w:cs="Arial"/>
        </w:rPr>
        <w:t xml:space="preserve"> Mailability is further restricted to mailings that comply with all conditions in </w:t>
      </w:r>
      <w:bookmarkEnd w:id="90"/>
      <w:r w:rsidRPr="00D53F40">
        <w:rPr>
          <w:rFonts w:cs="Arial"/>
        </w:rPr>
        <w:t>473.</w:t>
      </w:r>
      <w:r w:rsidR="00124B01">
        <w:rPr>
          <w:rFonts w:cs="Arial"/>
        </w:rPr>
        <w:t>3</w:t>
      </w:r>
      <w:r w:rsidRPr="00D53F40">
        <w:rPr>
          <w:rFonts w:cs="Arial"/>
        </w:rPr>
        <w:t>1 to 473.</w:t>
      </w:r>
      <w:r w:rsidR="00124B01">
        <w:rPr>
          <w:rFonts w:cs="Arial"/>
        </w:rPr>
        <w:t>3</w:t>
      </w:r>
      <w:r w:rsidR="00A253E1">
        <w:rPr>
          <w:rFonts w:cs="Arial"/>
        </w:rPr>
        <w:t>4</w:t>
      </w:r>
      <w:r w:rsidRPr="00D53F40">
        <w:rPr>
          <w:rFonts w:cs="Arial"/>
        </w:rPr>
        <w:t xml:space="preserve">. </w:t>
      </w:r>
    </w:p>
    <w:p w14:paraId="1B02F02A" w14:textId="022390D0" w:rsidR="00D53F40" w:rsidRPr="00D53F40" w:rsidRDefault="00D53F40" w:rsidP="00D53F40">
      <w:pPr>
        <w:rPr>
          <w:rFonts w:cs="Arial"/>
        </w:rPr>
      </w:pPr>
      <w:r w:rsidRPr="00D53F40">
        <w:rPr>
          <w:rFonts w:cs="Arial"/>
          <w:b/>
          <w:bCs/>
        </w:rPr>
        <w:t>473.</w:t>
      </w:r>
      <w:r w:rsidR="00124B01">
        <w:rPr>
          <w:rFonts w:cs="Arial"/>
          <w:b/>
          <w:bCs/>
        </w:rPr>
        <w:t>3</w:t>
      </w:r>
      <w:r w:rsidRPr="00D53F40">
        <w:rPr>
          <w:rFonts w:cs="Arial"/>
          <w:b/>
          <w:bCs/>
        </w:rPr>
        <w:t xml:space="preserve">1 </w:t>
      </w:r>
      <w:bookmarkStart w:id="91" w:name="ep347221"/>
      <w:r w:rsidRPr="00D53F40">
        <w:rPr>
          <w:rFonts w:cs="Arial"/>
          <w:b/>
          <w:bCs/>
        </w:rPr>
        <w:t xml:space="preserve">Application </w:t>
      </w:r>
      <w:bookmarkStart w:id="92" w:name="ep347222"/>
      <w:bookmarkEnd w:id="91"/>
    </w:p>
    <w:p w14:paraId="5AC43002" w14:textId="6BCD1470" w:rsidR="00D53F40" w:rsidRPr="00D53F40" w:rsidRDefault="00D53F40" w:rsidP="00D53F40">
      <w:pPr>
        <w:rPr>
          <w:rFonts w:cs="Arial"/>
        </w:rPr>
      </w:pPr>
      <w:r w:rsidRPr="00D53F40">
        <w:rPr>
          <w:rFonts w:cs="Arial"/>
        </w:rPr>
        <w:t xml:space="preserve">Each customer seeking to mail covered products under the business/regulatory purposes exception must </w:t>
      </w:r>
      <w:bookmarkEnd w:id="92"/>
      <w:r w:rsidRPr="00D53F40">
        <w:rPr>
          <w:rFonts w:cs="Arial"/>
        </w:rPr>
        <w:t>submit a complete application (PS Form 4615 or 4615E, as appropriate) and, for ENDS, complete Worksheets 4615</w:t>
      </w:r>
      <w:r w:rsidR="009A5288">
        <w:rPr>
          <w:rFonts w:cs="Arial"/>
        </w:rPr>
        <w:t>-EM</w:t>
      </w:r>
      <w:r w:rsidRPr="00D53F40">
        <w:rPr>
          <w:rFonts w:cs="Arial"/>
        </w:rPr>
        <w:t xml:space="preserve"> and 4615</w:t>
      </w:r>
      <w:r w:rsidR="009A5288">
        <w:rPr>
          <w:rFonts w:cs="Arial"/>
        </w:rPr>
        <w:t>-ER</w:t>
      </w:r>
      <w:r w:rsidR="0088497A">
        <w:rPr>
          <w:rFonts w:cs="Arial"/>
        </w:rPr>
        <w:t xml:space="preserve"> as appropriate</w:t>
      </w:r>
      <w:r w:rsidRPr="00D53F40">
        <w:rPr>
          <w:rFonts w:cs="Arial"/>
        </w:rPr>
        <w:t>, along with all supporting documentation requested on those forms and worksheets.</w:t>
      </w:r>
    </w:p>
    <w:p w14:paraId="337291C5" w14:textId="57B17A99" w:rsidR="00D53F40" w:rsidRPr="00D53F40" w:rsidRDefault="00D33874" w:rsidP="00FE6779">
      <w:bookmarkStart w:id="93" w:name="ep347223"/>
      <w:r>
        <w:t>a.</w:t>
      </w:r>
      <w:r>
        <w:tab/>
      </w:r>
      <w:r w:rsidR="00D53F40" w:rsidRPr="00D53F40">
        <w:t>Along with any other information requested on PS Form 4615 or 4615E and Worksheets 4615</w:t>
      </w:r>
      <w:r w:rsidR="009A5288">
        <w:rPr>
          <w:rFonts w:cs="Arial"/>
        </w:rPr>
        <w:t>-EM</w:t>
      </w:r>
      <w:r w:rsidR="00D53F40" w:rsidRPr="00D53F40">
        <w:t xml:space="preserve"> and 4615</w:t>
      </w:r>
      <w:r w:rsidR="009A5288">
        <w:rPr>
          <w:rFonts w:cs="Arial"/>
        </w:rPr>
        <w:t>-ER</w:t>
      </w:r>
      <w:r w:rsidR="00D53F40" w:rsidRPr="00D53F40">
        <w:t>, the applicant must furnish:</w:t>
      </w:r>
      <w:bookmarkEnd w:id="93"/>
    </w:p>
    <w:p w14:paraId="4D4F12A0" w14:textId="0D9491D4" w:rsidR="00D53F40" w:rsidRPr="00D33874" w:rsidRDefault="00D33874" w:rsidP="00FE6779">
      <w:r>
        <w:t>1.</w:t>
      </w:r>
      <w:r>
        <w:tab/>
      </w:r>
      <w:bookmarkStart w:id="94" w:name="ep347224"/>
      <w:r w:rsidR="00D53F40" w:rsidRPr="00D33874">
        <w:t>Information about its legal status, copies of any applicable licenses, and authority under which it operates</w:t>
      </w:r>
      <w:bookmarkEnd w:id="94"/>
      <w:r w:rsidR="00521333" w:rsidRPr="00D33874">
        <w:t>.</w:t>
      </w:r>
    </w:p>
    <w:p w14:paraId="6D8A58B7" w14:textId="79C73859" w:rsidR="00D53F40" w:rsidRPr="00D33874" w:rsidRDefault="00D33874" w:rsidP="00FE6779">
      <w:bookmarkStart w:id="95" w:name="ep347225"/>
      <w:r>
        <w:t>2.</w:t>
      </w:r>
      <w:r>
        <w:tab/>
      </w:r>
      <w:r w:rsidR="00D53F40" w:rsidRPr="00D33874">
        <w:t xml:space="preserve">Information about the legal status, copies of any applicable licenses, and operational authority for all recipients to which the mailings under this exception will be addressed. </w:t>
      </w:r>
      <w:bookmarkEnd w:id="95"/>
    </w:p>
    <w:p w14:paraId="6F7A6774" w14:textId="79439B62" w:rsidR="00D53F40" w:rsidRPr="00D33874" w:rsidRDefault="00D33874" w:rsidP="00FE6779">
      <w:bookmarkStart w:id="96" w:name="ep347226"/>
      <w:r>
        <w:t>3.</w:t>
      </w:r>
      <w:r>
        <w:tab/>
      </w:r>
      <w:r w:rsidR="00D53F40" w:rsidRPr="00D33874">
        <w:t>All locations where mail containing covered products will be presented.</w:t>
      </w:r>
      <w:bookmarkEnd w:id="96"/>
    </w:p>
    <w:p w14:paraId="45DFBA76" w14:textId="4A500D26" w:rsidR="00D53F40" w:rsidRPr="00D33874" w:rsidRDefault="00D33874" w:rsidP="00FE6779">
      <w:r>
        <w:t>4.</w:t>
      </w:r>
      <w:r>
        <w:tab/>
      </w:r>
      <w:r w:rsidR="00D53F40" w:rsidRPr="00D33874">
        <w:t>For each business mailer and/or recipient, the nature of the relevant business activities (e.g., manufacturing, wholesale, distribution, testing, investigation, import, export).</w:t>
      </w:r>
    </w:p>
    <w:p w14:paraId="33011B4F" w14:textId="61F64D10" w:rsidR="00D53F40" w:rsidRPr="00D33874" w:rsidRDefault="00D33874" w:rsidP="00FE6779">
      <w:r>
        <w:t>5.</w:t>
      </w:r>
      <w:r>
        <w:tab/>
      </w:r>
      <w:r w:rsidR="00057FF0" w:rsidRPr="00D33874">
        <w:t>T</w:t>
      </w:r>
      <w:r w:rsidR="00D53F40" w:rsidRPr="00D33874">
        <w:t>he brand name and a description of each product intended to be mailed</w:t>
      </w:r>
      <w:r w:rsidR="00057FF0" w:rsidRPr="00D33874">
        <w:t>. For ENDS</w:t>
      </w:r>
      <w:r w:rsidR="00D53F40" w:rsidRPr="00D33874">
        <w:t xml:space="preserve">, </w:t>
      </w:r>
      <w:r w:rsidR="00057FF0" w:rsidRPr="00D33874">
        <w:t xml:space="preserve">descriptions must include </w:t>
      </w:r>
      <w:r w:rsidR="00D53F40" w:rsidRPr="00D33874">
        <w:t xml:space="preserve">information about the source of any CBD; </w:t>
      </w:r>
      <w:r w:rsidR="00D53F40" w:rsidRPr="00D33874">
        <w:lastRenderedPageBreak/>
        <w:t xml:space="preserve">the concentration of any THC; and safety data sheets </w:t>
      </w:r>
      <w:r w:rsidR="004B5CD4" w:rsidRPr="00D33874">
        <w:t xml:space="preserve">or technical specification documentation </w:t>
      </w:r>
      <w:r w:rsidR="00D53F40" w:rsidRPr="00D33874">
        <w:t>for any hazardous materials (e.g., lithium batteries, nicotine, diacetyl (butane</w:t>
      </w:r>
      <w:r w:rsidR="00521333" w:rsidRPr="00D33874">
        <w:t>-2,3-</w:t>
      </w:r>
      <w:r w:rsidR="00D53F40" w:rsidRPr="00D33874">
        <w:t>dione), propanol).</w:t>
      </w:r>
    </w:p>
    <w:p w14:paraId="4C816264" w14:textId="1AF384F6" w:rsidR="00D53F40" w:rsidRPr="00D33874" w:rsidRDefault="00D33874" w:rsidP="00FE6779">
      <w:r>
        <w:t>b.</w:t>
      </w:r>
      <w:r>
        <w:tab/>
      </w:r>
      <w:bookmarkStart w:id="97" w:name="ep347227"/>
      <w:r w:rsidR="00D53F40" w:rsidRPr="00D33874">
        <w:t xml:space="preserve">The applicant is responsible for establishing the eligibility of each sender and recipient and for the accuracy, completeness, and currency of all information provided in the application. </w:t>
      </w:r>
    </w:p>
    <w:p w14:paraId="4BA1AAC2" w14:textId="2A748AE6" w:rsidR="00D53F40" w:rsidRPr="00D33874" w:rsidRDefault="00D33874" w:rsidP="00FE6779">
      <w:bookmarkStart w:id="98" w:name="ep347228"/>
      <w:bookmarkEnd w:id="97"/>
      <w:r>
        <w:t>c.</w:t>
      </w:r>
      <w:r>
        <w:tab/>
      </w:r>
      <w:r w:rsidR="00D53F40" w:rsidRPr="00D33874">
        <w:t xml:space="preserve">Applications must be submitted as follows: </w:t>
      </w:r>
    </w:p>
    <w:p w14:paraId="1420AA6C" w14:textId="7C025B3C" w:rsidR="00D53F40" w:rsidRPr="00D33874" w:rsidRDefault="00D33874" w:rsidP="00FE6779">
      <w:r>
        <w:t>1.</w:t>
      </w:r>
      <w:r>
        <w:tab/>
      </w:r>
      <w:r w:rsidR="00D53F40" w:rsidRPr="00D33874">
        <w:t>For cigarettes and smokeless tobacco (PS Form 4615): by email to MDA@usps.gov.</w:t>
      </w:r>
      <w:bookmarkEnd w:id="98"/>
    </w:p>
    <w:p w14:paraId="4436B1D3" w14:textId="2DDA785D" w:rsidR="00D53F40" w:rsidRPr="00D33874" w:rsidRDefault="00D33874" w:rsidP="00FE6779">
      <w:r>
        <w:t>2.</w:t>
      </w:r>
      <w:r>
        <w:tab/>
      </w:r>
      <w:r w:rsidR="00D53F40" w:rsidRPr="00D33874">
        <w:t>For ENDS (PS Form 4615E and Worksheets 4615</w:t>
      </w:r>
      <w:r w:rsidR="009A5288">
        <w:rPr>
          <w:rFonts w:cs="Arial"/>
        </w:rPr>
        <w:t>-EM</w:t>
      </w:r>
      <w:r w:rsidR="00D53F40" w:rsidRPr="00D33874">
        <w:t xml:space="preserve"> and 4615</w:t>
      </w:r>
      <w:r w:rsidR="009A5288">
        <w:rPr>
          <w:rFonts w:cs="Arial"/>
        </w:rPr>
        <w:t>-ER</w:t>
      </w:r>
      <w:r w:rsidR="00D53F40" w:rsidRPr="00D33874">
        <w:t>): by email to MDA@usps.gov.</w:t>
      </w:r>
    </w:p>
    <w:p w14:paraId="0150B529" w14:textId="695D4798" w:rsidR="00D53F40" w:rsidRPr="00D33874" w:rsidRDefault="00D33874" w:rsidP="00FE6779">
      <w:r>
        <w:t>d.</w:t>
      </w:r>
      <w:r>
        <w:tab/>
      </w:r>
      <w:r w:rsidR="00D53F40" w:rsidRPr="00D33874">
        <w:t xml:space="preserve">The Director, PCSC, will </w:t>
      </w:r>
      <w:proofErr w:type="gramStart"/>
      <w:r w:rsidR="00D53F40" w:rsidRPr="00D33874">
        <w:t>make a determination</w:t>
      </w:r>
      <w:proofErr w:type="gramEnd"/>
      <w:r w:rsidR="00D53F40" w:rsidRPr="00D33874">
        <w:t xml:space="preserve"> of eligibility to mail under the business/regulatory purposes exception. The mailer bears the burden of establishing eligibility and must furnish any additional supporting documentation requested by the Director, PCSC, upon request as necessary to establish eligibility. The Director, PCSC, may approve or deny an application in its entirety or only with respect to certain mailers and/or recipients. A number is assigned to each letter of eligibility. </w:t>
      </w:r>
    </w:p>
    <w:p w14:paraId="1042A0A4" w14:textId="637196A7" w:rsidR="00D53F40" w:rsidRPr="00D33874" w:rsidRDefault="00D33874" w:rsidP="00FE6779">
      <w:bookmarkStart w:id="99" w:name="ep347229"/>
      <w:r>
        <w:t>e.</w:t>
      </w:r>
      <w:r>
        <w:tab/>
      </w:r>
      <w:r w:rsidR="00D53F40" w:rsidRPr="00D33874">
        <w:t xml:space="preserve">The applicant must update the information in its application, including any updated documentation, in a timely manner, as necessary, at least 15 days prior to conducting any mailing to or from an entity to which the information pertains. </w:t>
      </w:r>
      <w:bookmarkEnd w:id="99"/>
    </w:p>
    <w:p w14:paraId="17F16755" w14:textId="00BDC790" w:rsidR="00D53F40" w:rsidRPr="00D33874" w:rsidRDefault="00D33874" w:rsidP="00FE6779">
      <w:bookmarkStart w:id="100" w:name="ep347231"/>
      <w:r>
        <w:t>f.</w:t>
      </w:r>
      <w:r>
        <w:tab/>
      </w:r>
      <w:bookmarkStart w:id="101" w:name="ep347232"/>
      <w:bookmarkEnd w:id="100"/>
      <w:r w:rsidR="00D53F40" w:rsidRPr="00D33874">
        <w:t xml:space="preserve">Upon written request by a state or federal agency, the Director, PCSC, may, in his or her discretion, waive certain application requirements for mailings </w:t>
      </w:r>
      <w:r w:rsidR="00D53F40" w:rsidRPr="00D33874">
        <w:lastRenderedPageBreak/>
        <w:t xml:space="preserve">entered by the requesting state or federal agency for regulatory purposes. </w:t>
      </w:r>
      <w:bookmarkEnd w:id="101"/>
      <w:r w:rsidR="00D53F40" w:rsidRPr="00D33874">
        <w:t>The Director, PCSC, may suspend, rescind, or modify any waiver at any time.</w:t>
      </w:r>
    </w:p>
    <w:p w14:paraId="2315F20F" w14:textId="0B9D908C" w:rsidR="00D53F40" w:rsidRPr="00D33874" w:rsidRDefault="00D562E7" w:rsidP="00FE6779">
      <w:bookmarkStart w:id="102" w:name="ep347233"/>
      <w:r>
        <w:t>g</w:t>
      </w:r>
      <w:r w:rsidR="00D33874">
        <w:t>.</w:t>
      </w:r>
      <w:r w:rsidR="00D33874">
        <w:tab/>
      </w:r>
      <w:r w:rsidR="00D53F40" w:rsidRPr="00D33874">
        <w:t>Any determination of eligibility to mail under this exception shall lapse if the authorized mailer does not tender any mail under this exception within any 3-year period. After that time, the affected mailer must apply for and receive new authorization for any mailings under this exception.</w:t>
      </w:r>
      <w:bookmarkEnd w:id="102"/>
    </w:p>
    <w:p w14:paraId="7A2C4B31" w14:textId="5688EF72" w:rsidR="00D53F40" w:rsidRPr="00D53F40" w:rsidRDefault="00D53F40" w:rsidP="00D53F40">
      <w:pPr>
        <w:rPr>
          <w:rFonts w:cs="Arial"/>
          <w:b/>
          <w:bCs/>
        </w:rPr>
      </w:pPr>
      <w:r w:rsidRPr="00D53F40">
        <w:rPr>
          <w:rFonts w:cs="Arial"/>
          <w:b/>
          <w:bCs/>
        </w:rPr>
        <w:t>473.</w:t>
      </w:r>
      <w:r w:rsidR="00124B01">
        <w:rPr>
          <w:rFonts w:cs="Arial"/>
          <w:b/>
          <w:bCs/>
        </w:rPr>
        <w:t>3</w:t>
      </w:r>
      <w:r w:rsidRPr="00D53F40">
        <w:rPr>
          <w:rFonts w:cs="Arial"/>
          <w:b/>
          <w:bCs/>
        </w:rPr>
        <w:t xml:space="preserve">2 </w:t>
      </w:r>
      <w:bookmarkStart w:id="103" w:name="ep347234"/>
      <w:r w:rsidRPr="00D53F40">
        <w:rPr>
          <w:rFonts w:cs="Arial"/>
          <w:b/>
          <w:bCs/>
        </w:rPr>
        <w:t xml:space="preserve">Mailing </w:t>
      </w:r>
      <w:bookmarkEnd w:id="103"/>
    </w:p>
    <w:p w14:paraId="104D89D2" w14:textId="42611E09" w:rsidR="00D53F40" w:rsidRPr="00D53F40" w:rsidRDefault="00D53F40" w:rsidP="00D53F40">
      <w:pPr>
        <w:rPr>
          <w:rFonts w:cs="Arial"/>
        </w:rPr>
      </w:pPr>
      <w:bookmarkStart w:id="104" w:name="ep347235"/>
      <w:r w:rsidRPr="00D53F40">
        <w:rPr>
          <w:rFonts w:cs="Arial"/>
        </w:rPr>
        <w:t xml:space="preserve">All mailings tendered under the business/regulatory purposes exception must: </w:t>
      </w:r>
      <w:bookmarkEnd w:id="104"/>
    </w:p>
    <w:p w14:paraId="09ACE9E0" w14:textId="43FFFB1F" w:rsidR="00D53F40" w:rsidRPr="00D53F40" w:rsidRDefault="00D33874" w:rsidP="00FE6779">
      <w:bookmarkStart w:id="105" w:name="ep347236"/>
      <w:r>
        <w:t>a.</w:t>
      </w:r>
      <w:r>
        <w:tab/>
      </w:r>
      <w:r w:rsidR="00D53F40" w:rsidRPr="00D53F40">
        <w:t>Use one of the following combinations of services:</w:t>
      </w:r>
    </w:p>
    <w:p w14:paraId="4994ECC6" w14:textId="2C4F1E47" w:rsidR="00D53F40" w:rsidRPr="00D33874" w:rsidRDefault="00D33874" w:rsidP="00FE6779">
      <w:r>
        <w:t>1.</w:t>
      </w:r>
      <w:r>
        <w:tab/>
      </w:r>
      <w:r w:rsidR="00D53F40" w:rsidRPr="00D33874">
        <w:t>Priority Mail Express with Adult Signature Required or Adult Signature Restricted Delivery service (see DMM 503.8.0).</w:t>
      </w:r>
    </w:p>
    <w:p w14:paraId="714C3CD2" w14:textId="501A269D" w:rsidR="00D53F40" w:rsidRPr="00D33874" w:rsidRDefault="00D33874" w:rsidP="00FE6779">
      <w:r>
        <w:t>2.</w:t>
      </w:r>
      <w:r>
        <w:tab/>
      </w:r>
      <w:r w:rsidR="00D53F40" w:rsidRPr="00D33874">
        <w:t>Priority Mail with Adult Signature Required or Adult Signature Restricted Delivery service.</w:t>
      </w:r>
    </w:p>
    <w:p w14:paraId="37BEBF11" w14:textId="56C07401" w:rsidR="00D53F40" w:rsidRPr="00D33874" w:rsidRDefault="00124B01" w:rsidP="00FE6779">
      <w:bookmarkStart w:id="106" w:name="ep347237"/>
      <w:bookmarkEnd w:id="105"/>
      <w:r>
        <w:t>b</w:t>
      </w:r>
      <w:r w:rsidR="00D33874">
        <w:t>.</w:t>
      </w:r>
      <w:r w:rsidR="00D33874">
        <w:tab/>
      </w:r>
      <w:r w:rsidR="00D53F40" w:rsidRPr="00D33874">
        <w:t xml:space="preserve">Be accompanied by a Domestic Return Receipt (PS Form 3811). The </w:t>
      </w:r>
      <w:proofErr w:type="gramStart"/>
      <w:r w:rsidR="00D53F40" w:rsidRPr="00D33874">
        <w:t>sender‘</w:t>
      </w:r>
      <w:proofErr w:type="gramEnd"/>
      <w:r w:rsidR="00D53F40" w:rsidRPr="00D33874">
        <w:t>s address block must bear the eligibility number issued by the PCSC and be made returnable to the address as shown below:</w:t>
      </w:r>
    </w:p>
    <w:p w14:paraId="0055EF39" w14:textId="302F3117" w:rsidR="00D33874" w:rsidRPr="00D33874" w:rsidRDefault="00D53F40" w:rsidP="00FE6779">
      <w:r w:rsidRPr="00D33874">
        <w:t>PCSC, PACT MAILING OFFICE</w:t>
      </w:r>
      <w:r w:rsidRPr="00D33874">
        <w:br/>
        <w:t>USPS ELIGIBILITY NO. XX-00-0000</w:t>
      </w:r>
      <w:r w:rsidRPr="00D33874">
        <w:br/>
        <w:t>90 Church St</w:t>
      </w:r>
      <w:r w:rsidR="00D43C12" w:rsidRPr="00EB6927">
        <w:t>.,</w:t>
      </w:r>
      <w:r w:rsidRPr="00E51291">
        <w:t xml:space="preserve"> Ste 3100</w:t>
      </w:r>
      <w:r w:rsidRPr="00E51291">
        <w:br/>
        <w:t>New York</w:t>
      </w:r>
      <w:r w:rsidR="00D43C12" w:rsidRPr="00E51291">
        <w:t>,</w:t>
      </w:r>
      <w:r w:rsidRPr="00E51291">
        <w:t xml:space="preserve"> NY</w:t>
      </w:r>
      <w:r w:rsidR="00D43C12" w:rsidRPr="00E51291">
        <w:t xml:space="preserve"> </w:t>
      </w:r>
      <w:r w:rsidRPr="00E51291">
        <w:t>10007-2951</w:t>
      </w:r>
    </w:p>
    <w:p w14:paraId="1DB4FA4B" w14:textId="0134D6C5" w:rsidR="00D53F40" w:rsidRPr="00D33874" w:rsidRDefault="00124B01" w:rsidP="00FE6779">
      <w:bookmarkStart w:id="107" w:name="ep347238"/>
      <w:bookmarkEnd w:id="106"/>
      <w:r>
        <w:t>c</w:t>
      </w:r>
      <w:r w:rsidR="00D33874">
        <w:t>.</w:t>
      </w:r>
      <w:r w:rsidR="00D33874">
        <w:tab/>
      </w:r>
      <w:r w:rsidR="00D53F40" w:rsidRPr="00D33874">
        <w:t xml:space="preserve">Bear the following marking, with the relevant type of item and recipient selected: “[CIGARETTE/SMOKELESS TOBACCO/ENDS] MAILING—DELIVER </w:t>
      </w:r>
      <w:r w:rsidR="00D53F40" w:rsidRPr="00D33874">
        <w:lastRenderedPageBreak/>
        <w:t xml:space="preserve">ONLY TO </w:t>
      </w:r>
      <w:r w:rsidR="007B22AA">
        <w:t xml:space="preserve">EMPLOYEE OF </w:t>
      </w:r>
      <w:r w:rsidR="00D53F40" w:rsidRPr="00D33874">
        <w:t>ADDRESSE</w:t>
      </w:r>
      <w:r w:rsidR="00C67FDE">
        <w:t>E</w:t>
      </w:r>
      <w:r w:rsidR="00D53F40" w:rsidRPr="00D33874">
        <w:t xml:space="preserve"> [BUSINESS/AGENCY]</w:t>
      </w:r>
      <w:r w:rsidR="007B22AA">
        <w:t xml:space="preserve"> </w:t>
      </w:r>
      <w:r w:rsidR="007B22AA" w:rsidRPr="000C7CFF">
        <w:t>UPON AGE VERIFICATION</w:t>
      </w:r>
      <w:r w:rsidR="00D53F40" w:rsidRPr="00D33874">
        <w:t xml:space="preserve">” on the address side of the mailpiece. </w:t>
      </w:r>
      <w:bookmarkEnd w:id="107"/>
    </w:p>
    <w:p w14:paraId="42F2C8A4" w14:textId="42BACE5B" w:rsidR="00D53F40" w:rsidRDefault="00124B01">
      <w:bookmarkStart w:id="108" w:name="ep347239"/>
      <w:r>
        <w:t>d</w:t>
      </w:r>
      <w:r w:rsidR="00D33874">
        <w:t>.</w:t>
      </w:r>
      <w:r w:rsidR="00D33874">
        <w:tab/>
      </w:r>
      <w:r w:rsidR="00D53F40" w:rsidRPr="00D33874">
        <w:t>Bear the business or government agency name and full mailing addresses of both the sender and recipient, both of which must match exactly those listed on the authorized mailer</w:t>
      </w:r>
      <w:r w:rsidR="00BF1F0C" w:rsidRPr="00D33874">
        <w:t>’</w:t>
      </w:r>
      <w:r w:rsidR="00D53F40" w:rsidRPr="00EB6927">
        <w:t xml:space="preserve">s application on file with the Postal Service. </w:t>
      </w:r>
      <w:bookmarkEnd w:id="108"/>
    </w:p>
    <w:p w14:paraId="75306858" w14:textId="15509157" w:rsidR="00A253E1" w:rsidRPr="00EB6927" w:rsidRDefault="00A253E1" w:rsidP="00FE6779">
      <w:r>
        <w:t>e.</w:t>
      </w:r>
      <w:r>
        <w:tab/>
      </w:r>
      <w:r>
        <w:rPr>
          <w:rFonts w:cs="Arial"/>
        </w:rPr>
        <w:t xml:space="preserve">Be </w:t>
      </w:r>
      <w:r w:rsidRPr="00D53F40">
        <w:rPr>
          <w:rFonts w:cs="Arial"/>
        </w:rPr>
        <w:t>enter</w:t>
      </w:r>
      <w:r>
        <w:rPr>
          <w:rFonts w:cs="Arial"/>
        </w:rPr>
        <w:t>ed</w:t>
      </w:r>
      <w:r w:rsidRPr="00D53F40">
        <w:rPr>
          <w:rFonts w:cs="Arial"/>
        </w:rPr>
        <w:t xml:space="preserve"> at </w:t>
      </w:r>
      <w:r>
        <w:rPr>
          <w:rFonts w:cs="Arial"/>
        </w:rPr>
        <w:t xml:space="preserve">a </w:t>
      </w:r>
      <w:r w:rsidRPr="00D53F40">
        <w:rPr>
          <w:rFonts w:cs="Arial"/>
        </w:rPr>
        <w:t>retail and/or business mail acceptance location specified in the application</w:t>
      </w:r>
      <w:r>
        <w:rPr>
          <w:rFonts w:cs="Arial"/>
        </w:rPr>
        <w:t xml:space="preserve"> and authorized by the PCSC</w:t>
      </w:r>
      <w:r w:rsidRPr="00D53F40">
        <w:rPr>
          <w:rFonts w:cs="Arial"/>
        </w:rPr>
        <w:t>.</w:t>
      </w:r>
    </w:p>
    <w:p w14:paraId="3DC12B83" w14:textId="79A7893E" w:rsidR="00124B01" w:rsidRPr="00D53F40" w:rsidRDefault="00124B01" w:rsidP="00124B01">
      <w:pPr>
        <w:rPr>
          <w:rFonts w:cs="Arial"/>
          <w:b/>
          <w:bCs/>
        </w:rPr>
      </w:pPr>
      <w:r w:rsidRPr="00D53F40">
        <w:rPr>
          <w:rFonts w:cs="Arial"/>
          <w:b/>
          <w:bCs/>
        </w:rPr>
        <w:t>473.</w:t>
      </w:r>
      <w:r>
        <w:rPr>
          <w:rFonts w:cs="Arial"/>
          <w:b/>
          <w:bCs/>
        </w:rPr>
        <w:t>33</w:t>
      </w:r>
      <w:r w:rsidRPr="00D53F40">
        <w:rPr>
          <w:rFonts w:cs="Arial"/>
          <w:b/>
          <w:bCs/>
        </w:rPr>
        <w:t xml:space="preserve"> Entry and Acceptance </w:t>
      </w:r>
    </w:p>
    <w:p w14:paraId="36AF030D" w14:textId="3104A9F5" w:rsidR="00124B01" w:rsidRDefault="00124B01" w:rsidP="00124B01">
      <w:pPr>
        <w:rPr>
          <w:rFonts w:cs="Arial"/>
        </w:rPr>
      </w:pPr>
      <w:r w:rsidRPr="00D53F40">
        <w:rPr>
          <w:rFonts w:cs="Arial"/>
        </w:rPr>
        <w:t>Mailings under the</w:t>
      </w:r>
      <w:r>
        <w:rPr>
          <w:rFonts w:cs="Arial"/>
        </w:rPr>
        <w:t xml:space="preserve"> business/regulatory purposes</w:t>
      </w:r>
      <w:r w:rsidRPr="00D53F40">
        <w:rPr>
          <w:rFonts w:cs="Arial"/>
        </w:rPr>
        <w:t xml:space="preserve"> exception must be entered under the following conditions: </w:t>
      </w:r>
    </w:p>
    <w:p w14:paraId="4679D6DE" w14:textId="5AF50BA4" w:rsidR="00124B01" w:rsidRPr="00D33874" w:rsidRDefault="00124B01" w:rsidP="00124B01">
      <w:r>
        <w:t>a.</w:t>
      </w:r>
      <w:r>
        <w:tab/>
      </w:r>
      <w:r w:rsidR="00A253E1" w:rsidRPr="00D33874">
        <w:t xml:space="preserve">Covered products must be tendered via a face-to-face transaction with a Postal Service employee. Applicable mailings may not be tendered through </w:t>
      </w:r>
      <w:r w:rsidR="009430D7">
        <w:t>any entry method prohibited under 473.1.e</w:t>
      </w:r>
      <w:r w:rsidR="00A253E1" w:rsidRPr="00D33874">
        <w:t>.</w:t>
      </w:r>
    </w:p>
    <w:p w14:paraId="40748794" w14:textId="77777777" w:rsidR="00765245" w:rsidRDefault="00124B01" w:rsidP="001E21A1">
      <w:r>
        <w:t>b.</w:t>
      </w:r>
      <w:r>
        <w:tab/>
      </w:r>
      <w:r w:rsidR="00A253E1">
        <w:t>The mailer must p</w:t>
      </w:r>
      <w:r w:rsidRPr="00D33874">
        <w:t xml:space="preserve">resent Postal Service acceptance personnel with </w:t>
      </w:r>
      <w:r w:rsidR="00765245">
        <w:t>the following:</w:t>
      </w:r>
    </w:p>
    <w:p w14:paraId="2F357C64" w14:textId="77777777" w:rsidR="00D142E8" w:rsidRDefault="00D142E8" w:rsidP="00D142E8">
      <w:r>
        <w:t>1.</w:t>
      </w:r>
      <w:r>
        <w:tab/>
        <w:t>For shipments of cigarettes and/or smokeless tobacco, a</w:t>
      </w:r>
      <w:r w:rsidRPr="00D33874">
        <w:t xml:space="preserve"> letter </w:t>
      </w:r>
      <w:r>
        <w:t xml:space="preserve">from the PCSC </w:t>
      </w:r>
      <w:r w:rsidRPr="00D33874">
        <w:t>showing that the PCSC has authorized the mailer</w:t>
      </w:r>
      <w:r>
        <w:t>, addressee, and acceptance location.</w:t>
      </w:r>
    </w:p>
    <w:p w14:paraId="2BF26E71" w14:textId="70B8122B" w:rsidR="00D142E8" w:rsidRDefault="00D142E8" w:rsidP="001E21A1">
      <w:r>
        <w:t>2</w:t>
      </w:r>
      <w:r w:rsidR="00765245">
        <w:t>.</w:t>
      </w:r>
      <w:r w:rsidR="00765245">
        <w:tab/>
      </w:r>
      <w:r>
        <w:t>For shipments of ENDS:</w:t>
      </w:r>
    </w:p>
    <w:p w14:paraId="7DE754CF" w14:textId="453DE4D1" w:rsidR="00764F59" w:rsidRDefault="00D142E8" w:rsidP="001E21A1">
      <w:r>
        <w:t>i.</w:t>
      </w:r>
      <w:r>
        <w:tab/>
      </w:r>
      <w:r w:rsidR="00765245">
        <w:t>A</w:t>
      </w:r>
      <w:r w:rsidR="00124B01" w:rsidRPr="00D33874">
        <w:t xml:space="preserve"> letter </w:t>
      </w:r>
      <w:bookmarkStart w:id="109" w:name="_Hlk83806447"/>
      <w:r w:rsidR="00765245">
        <w:t xml:space="preserve">from the PCSC </w:t>
      </w:r>
      <w:r w:rsidR="001E21A1" w:rsidRPr="00D33874">
        <w:t>showing that the PCSC has authorized the mailer</w:t>
      </w:r>
      <w:r w:rsidR="00765245">
        <w:t xml:space="preserve"> and </w:t>
      </w:r>
      <w:r w:rsidR="00764F59">
        <w:t xml:space="preserve">has not withheld authorization as to </w:t>
      </w:r>
      <w:r w:rsidR="00765245">
        <w:t xml:space="preserve">the </w:t>
      </w:r>
      <w:proofErr w:type="gramStart"/>
      <w:r w:rsidR="00764F59">
        <w:t>addressee;</w:t>
      </w:r>
      <w:proofErr w:type="gramEnd"/>
    </w:p>
    <w:p w14:paraId="604F27E4" w14:textId="5DCDC1BA" w:rsidR="001E21A1" w:rsidRDefault="00D142E8" w:rsidP="00764F59">
      <w:r>
        <w:t>ii</w:t>
      </w:r>
      <w:r w:rsidR="00764F59">
        <w:t>.</w:t>
      </w:r>
      <w:r w:rsidR="00764F59">
        <w:tab/>
      </w:r>
      <w:r>
        <w:t>A</w:t>
      </w:r>
      <w:r w:rsidR="00764F59">
        <w:t xml:space="preserve"> PCSC-approved </w:t>
      </w:r>
      <w:r w:rsidR="001E21A1">
        <w:t>Worksheet 4615</w:t>
      </w:r>
      <w:r w:rsidR="009A5288">
        <w:rPr>
          <w:rFonts w:cs="Arial"/>
        </w:rPr>
        <w:t>-EM</w:t>
      </w:r>
      <w:r w:rsidR="00764F59">
        <w:t xml:space="preserve"> showing that the PCSC has authorized the mailer and the acceptance location; and</w:t>
      </w:r>
    </w:p>
    <w:p w14:paraId="2AC01C12" w14:textId="398DDEA7" w:rsidR="00764F59" w:rsidRDefault="00D142E8" w:rsidP="00764F59">
      <w:r>
        <w:lastRenderedPageBreak/>
        <w:t>iii</w:t>
      </w:r>
      <w:r w:rsidR="00764F59">
        <w:t>.</w:t>
      </w:r>
      <w:r w:rsidR="00764F59">
        <w:tab/>
      </w:r>
      <w:r>
        <w:t>A</w:t>
      </w:r>
      <w:r w:rsidR="00764F59">
        <w:t xml:space="preserve"> PCSC-approved Worksheet 4615</w:t>
      </w:r>
      <w:r w:rsidR="009A5288">
        <w:rPr>
          <w:rFonts w:cs="Arial"/>
        </w:rPr>
        <w:t>-ER</w:t>
      </w:r>
      <w:r w:rsidR="00764F59">
        <w:t xml:space="preserve"> showing that the PCSC has authorized the addressee.</w:t>
      </w:r>
    </w:p>
    <w:bookmarkEnd w:id="109"/>
    <w:p w14:paraId="77081AA9" w14:textId="2C4213BE" w:rsidR="00D53F40" w:rsidRPr="00D53F40" w:rsidRDefault="00D53F40" w:rsidP="00D53F40">
      <w:pPr>
        <w:rPr>
          <w:rFonts w:cs="Arial"/>
          <w:b/>
          <w:bCs/>
        </w:rPr>
      </w:pPr>
      <w:r w:rsidRPr="00D53F40">
        <w:rPr>
          <w:rFonts w:cs="Arial"/>
          <w:b/>
          <w:bCs/>
        </w:rPr>
        <w:t>473.</w:t>
      </w:r>
      <w:r w:rsidR="00124B01">
        <w:rPr>
          <w:rFonts w:cs="Arial"/>
          <w:b/>
          <w:bCs/>
        </w:rPr>
        <w:t>34</w:t>
      </w:r>
      <w:r w:rsidRPr="00D53F40">
        <w:rPr>
          <w:rFonts w:cs="Arial"/>
          <w:b/>
          <w:bCs/>
        </w:rPr>
        <w:t xml:space="preserve"> </w:t>
      </w:r>
      <w:bookmarkStart w:id="110" w:name="ep347240"/>
      <w:r w:rsidRPr="00D53F40">
        <w:rPr>
          <w:rFonts w:cs="Arial"/>
          <w:b/>
          <w:bCs/>
        </w:rPr>
        <w:t xml:space="preserve">Delivery </w:t>
      </w:r>
      <w:bookmarkEnd w:id="110"/>
    </w:p>
    <w:p w14:paraId="0CF3B27E" w14:textId="0692F260" w:rsidR="00D53F40" w:rsidRPr="00D53F40" w:rsidRDefault="00D53F40" w:rsidP="00D53F40">
      <w:pPr>
        <w:rPr>
          <w:rFonts w:cs="Arial"/>
        </w:rPr>
      </w:pPr>
      <w:bookmarkStart w:id="111" w:name="ep347241"/>
      <w:r w:rsidRPr="00D53F40">
        <w:rPr>
          <w:rFonts w:cs="Arial"/>
        </w:rPr>
        <w:t xml:space="preserve">Mailings bearing the marking for business/regulatory purposes </w:t>
      </w:r>
      <w:r w:rsidR="001B4D73">
        <w:rPr>
          <w:rFonts w:cs="Arial"/>
        </w:rPr>
        <w:t xml:space="preserve">are eligible for delivery only </w:t>
      </w:r>
      <w:r w:rsidRPr="00D53F40">
        <w:rPr>
          <w:rFonts w:cs="Arial"/>
        </w:rPr>
        <w:t xml:space="preserve">to a verified employee of the addressee business or government agency under the following conditions: </w:t>
      </w:r>
      <w:bookmarkEnd w:id="111"/>
    </w:p>
    <w:p w14:paraId="7C13513B" w14:textId="5E93CABB" w:rsidR="00D53F40" w:rsidRPr="00E51291" w:rsidRDefault="00D33874" w:rsidP="00FE6779">
      <w:r>
        <w:t>a.</w:t>
      </w:r>
      <w:r>
        <w:tab/>
      </w:r>
      <w:bookmarkStart w:id="112" w:name="ep347242"/>
      <w:r w:rsidR="00D53F40" w:rsidRPr="00D33874">
        <w:t>The recipient must be an adult of at least the minimum age</w:t>
      </w:r>
      <w:r w:rsidR="00A21F97" w:rsidRPr="00D33874">
        <w:t xml:space="preserve"> (see 471.9)</w:t>
      </w:r>
      <w:r w:rsidR="00D53F40" w:rsidRPr="00D33874">
        <w:t xml:space="preserve"> at the place of delivery.</w:t>
      </w:r>
      <w:r w:rsidR="00D939A8" w:rsidRPr="00D33874">
        <w:t xml:space="preserve"> </w:t>
      </w:r>
      <w:r w:rsidR="00D53F40" w:rsidRPr="00D33874">
        <w:t>The recipient’s age must be verified by a postal employee before releasing or delivering the item to the recipient. The recipient must furnish proof of age via a driver</w:t>
      </w:r>
      <w:r w:rsidR="00BF1F0C" w:rsidRPr="00D33874">
        <w:t>’</w:t>
      </w:r>
      <w:r w:rsidR="00D53F40" w:rsidRPr="00D33874">
        <w:t>s</w:t>
      </w:r>
      <w:r w:rsidR="00D53F40" w:rsidRPr="00EB6927">
        <w:t xml:space="preserve"> license, passport, or other government-issued photo identification that lists age or date of birth.</w:t>
      </w:r>
      <w:bookmarkEnd w:id="112"/>
    </w:p>
    <w:p w14:paraId="0C202CE3" w14:textId="4D3D9433" w:rsidR="00D53F40" w:rsidRPr="00D33874" w:rsidRDefault="00D33874" w:rsidP="00FE6779">
      <w:bookmarkStart w:id="113" w:name="ep347243"/>
      <w:r>
        <w:t>b.</w:t>
      </w:r>
      <w:r>
        <w:tab/>
      </w:r>
      <w:r w:rsidR="00D53F40" w:rsidRPr="00D33874">
        <w:t>The recipient must demonstrate status as an employee of the business or government agency identified as the addressee on the mailing label. Proof of employment may take the form of an employee identification badge or card issued by the employer and including the employee’s name, the employer’s name, and the employer’s telephone number; a signed letter on company or agency letterhead from a supervisor or human relations office attesting to the recipient’s current employment; or any other form of identification that the postmaster deems to be of comparable reliability. Where delivery is made to a business address, employment status may be inferred from the carrier’s observation of such factors as the recipient’s uniform and presence at a reception desk or retail counter.</w:t>
      </w:r>
    </w:p>
    <w:p w14:paraId="4966BC08" w14:textId="32ABD937" w:rsidR="00D53F40" w:rsidRPr="00D33874" w:rsidRDefault="00D33874" w:rsidP="00FE6779">
      <w:r>
        <w:lastRenderedPageBreak/>
        <w:t>c.</w:t>
      </w:r>
      <w:r>
        <w:tab/>
      </w:r>
      <w:r w:rsidR="00D53F40" w:rsidRPr="00D33874">
        <w:t xml:space="preserve">Once the recipient’s age and identity as an employee of the addressee are established, the recipient must sign </w:t>
      </w:r>
      <w:r w:rsidR="006423F0">
        <w:t xml:space="preserve">for receipt of delivery and </w:t>
      </w:r>
      <w:r w:rsidR="00D53F40" w:rsidRPr="00D33874">
        <w:t>in the appropriate signature block</w:t>
      </w:r>
      <w:r w:rsidR="006423F0">
        <w:t xml:space="preserve"> of PS Form 3811</w:t>
      </w:r>
      <w:r w:rsidR="00D53F40" w:rsidRPr="00D33874">
        <w:t xml:space="preserve">. </w:t>
      </w:r>
      <w:bookmarkEnd w:id="113"/>
    </w:p>
    <w:bookmarkEnd w:id="88"/>
    <w:p w14:paraId="05486842" w14:textId="4CA42EBB" w:rsidR="00D53F40" w:rsidRPr="00D53F40" w:rsidRDefault="00D53F40" w:rsidP="00D53F40">
      <w:pPr>
        <w:rPr>
          <w:rFonts w:cs="Arial"/>
          <w:b/>
          <w:bCs/>
        </w:rPr>
      </w:pPr>
      <w:r w:rsidRPr="00D53F40">
        <w:rPr>
          <w:rFonts w:cs="Arial"/>
          <w:b/>
          <w:bCs/>
        </w:rPr>
        <w:t>473.</w:t>
      </w:r>
      <w:r w:rsidR="00124B01">
        <w:rPr>
          <w:rFonts w:cs="Arial"/>
          <w:b/>
          <w:bCs/>
        </w:rPr>
        <w:t>4</w:t>
      </w:r>
      <w:r w:rsidRPr="00D53F40">
        <w:rPr>
          <w:rFonts w:cs="Arial"/>
          <w:b/>
          <w:bCs/>
        </w:rPr>
        <w:t xml:space="preserve"> </w:t>
      </w:r>
      <w:bookmarkStart w:id="114" w:name="ep347244"/>
      <w:r w:rsidRPr="00D53F40">
        <w:rPr>
          <w:rFonts w:cs="Arial"/>
          <w:b/>
          <w:bCs/>
        </w:rPr>
        <w:t xml:space="preserve">Exception for Certain Individuals </w:t>
      </w:r>
      <w:bookmarkEnd w:id="114"/>
    </w:p>
    <w:p w14:paraId="28D0B464" w14:textId="51A189C9" w:rsidR="0011172E" w:rsidRDefault="00D53F40" w:rsidP="00D53F40">
      <w:pPr>
        <w:rPr>
          <w:rFonts w:cs="Arial"/>
        </w:rPr>
      </w:pPr>
      <w:bookmarkStart w:id="115" w:name="ep347245"/>
      <w:r w:rsidRPr="00D53F40">
        <w:rPr>
          <w:rFonts w:cs="Arial"/>
        </w:rPr>
        <w:t>The exception for certain individuals permits the mailing of small quantities of covered products by individual adults for noncommercial purposes.</w:t>
      </w:r>
      <w:r w:rsidR="00ED0745">
        <w:rPr>
          <w:rFonts w:cs="Arial"/>
        </w:rPr>
        <w:t xml:space="preserve"> </w:t>
      </w:r>
      <w:r w:rsidR="00ED0745" w:rsidRPr="00D53F40">
        <w:rPr>
          <w:rFonts w:cs="Arial"/>
        </w:rPr>
        <w:t xml:space="preserve">Mailability is </w:t>
      </w:r>
      <w:r w:rsidR="00ED0745">
        <w:rPr>
          <w:rFonts w:cs="Arial"/>
        </w:rPr>
        <w:t xml:space="preserve">further </w:t>
      </w:r>
      <w:r w:rsidR="00ED0745" w:rsidRPr="00D53F40">
        <w:rPr>
          <w:rFonts w:cs="Arial"/>
        </w:rPr>
        <w:t>restricted to mailings that comply with all conditions in 473.</w:t>
      </w:r>
      <w:r w:rsidR="00ED0745">
        <w:rPr>
          <w:rFonts w:cs="Arial"/>
        </w:rPr>
        <w:t>4</w:t>
      </w:r>
      <w:r w:rsidR="00ED0745" w:rsidRPr="00D53F40">
        <w:rPr>
          <w:rFonts w:cs="Arial"/>
        </w:rPr>
        <w:t>1 to 473.</w:t>
      </w:r>
      <w:r w:rsidR="00ED0745">
        <w:rPr>
          <w:rFonts w:cs="Arial"/>
        </w:rPr>
        <w:t>4</w:t>
      </w:r>
      <w:r w:rsidR="0011172E">
        <w:rPr>
          <w:rFonts w:cs="Arial"/>
        </w:rPr>
        <w:t>4</w:t>
      </w:r>
      <w:r w:rsidR="00ED0745" w:rsidRPr="00D53F40">
        <w:rPr>
          <w:rFonts w:cs="Arial"/>
        </w:rPr>
        <w:t>.</w:t>
      </w:r>
      <w:r w:rsidRPr="00D53F40">
        <w:rPr>
          <w:rFonts w:cs="Arial"/>
        </w:rPr>
        <w:t xml:space="preserve"> </w:t>
      </w:r>
      <w:r w:rsidR="00ED0745">
        <w:rPr>
          <w:rFonts w:cs="Arial"/>
        </w:rPr>
        <w:t xml:space="preserve">Eligible </w:t>
      </w:r>
      <w:r w:rsidRPr="00D53F40">
        <w:rPr>
          <w:rFonts w:cs="Arial"/>
        </w:rPr>
        <w:t>shipments may be made to any type of recipient (individual, business, government, or other organization).</w:t>
      </w:r>
    </w:p>
    <w:p w14:paraId="22227194" w14:textId="55697BF6" w:rsidR="0011172E" w:rsidRPr="00FE6779" w:rsidRDefault="0011172E" w:rsidP="00D53F40">
      <w:pPr>
        <w:rPr>
          <w:rFonts w:cs="Arial"/>
          <w:b/>
          <w:bCs/>
        </w:rPr>
      </w:pPr>
      <w:r>
        <w:rPr>
          <w:rFonts w:cs="Arial"/>
          <w:b/>
          <w:bCs/>
        </w:rPr>
        <w:t>473.41 Noncommercial Purposes</w:t>
      </w:r>
    </w:p>
    <w:p w14:paraId="0197DD36" w14:textId="3D2FB34B" w:rsidR="00D53F40" w:rsidRPr="00D53F40" w:rsidRDefault="00D53F40" w:rsidP="00D53F40">
      <w:pPr>
        <w:rPr>
          <w:rFonts w:cs="Arial"/>
        </w:rPr>
      </w:pPr>
      <w:r w:rsidRPr="00D53F40">
        <w:rPr>
          <w:rFonts w:cs="Arial"/>
        </w:rPr>
        <w:t>Noncommercial purposes may include, but are not limited to, the following:</w:t>
      </w:r>
    </w:p>
    <w:p w14:paraId="3A0E094E" w14:textId="2442A339" w:rsidR="00D53F40" w:rsidRPr="00D33874" w:rsidRDefault="00D33874" w:rsidP="00FE6779">
      <w:r>
        <w:t>a.</w:t>
      </w:r>
      <w:r>
        <w:tab/>
      </w:r>
      <w:r w:rsidR="00D53F40" w:rsidRPr="00D33874">
        <w:t>Covered products exchanged as gifts between individual adults. For purposes of this rule, “gifts” do not include covered products purchased by one individual for another from a third-party vendor through a mail-order transaction, or the inclusion of covered tobacco products at no additional charge with other matter pursuant to a commercial transaction.</w:t>
      </w:r>
    </w:p>
    <w:p w14:paraId="4787C104" w14:textId="7A85249D" w:rsidR="00D53F40" w:rsidRPr="00D33874" w:rsidRDefault="00D33874" w:rsidP="00FE6779">
      <w:r>
        <w:t>b.</w:t>
      </w:r>
      <w:r>
        <w:tab/>
      </w:r>
      <w:r w:rsidR="00D53F40" w:rsidRPr="00D33874">
        <w:t>Damaged or unacceptable covered products returned by a consumer to the manufacturer or other business. For purposes of the noncommerciality requirement, the manufacturer or other business may provide the consumer with a refund, credit, replacement product, or other form of value in exchange for the damaged or unacceptable covered product, so long as it does not exceed the amount that the consumer paid for the damaged or unacceptable product plus the cost of return shipping for the damaged or unacceptable product.</w:t>
      </w:r>
    </w:p>
    <w:p w14:paraId="3E0486ED" w14:textId="347051B9" w:rsidR="00D53F40" w:rsidRPr="00D33874" w:rsidRDefault="00D33874" w:rsidP="00FE6779">
      <w:r>
        <w:lastRenderedPageBreak/>
        <w:t>c.</w:t>
      </w:r>
      <w:r>
        <w:tab/>
      </w:r>
      <w:r w:rsidR="00D53F40" w:rsidRPr="00D33874">
        <w:t>Used covered products sent by a consumer to a manufacturer or other business for recycling. For purposes of this rule, the consumer must not receive anything of value (e.g., a discount, credit, or rebate) in exchange for a returned item.</w:t>
      </w:r>
    </w:p>
    <w:bookmarkEnd w:id="115"/>
    <w:p w14:paraId="2C84826E" w14:textId="55D7B806" w:rsidR="00D53F40" w:rsidRPr="00D53F40" w:rsidRDefault="00D53F40" w:rsidP="00D53F40">
      <w:pPr>
        <w:rPr>
          <w:rFonts w:cs="Arial"/>
          <w:b/>
          <w:bCs/>
        </w:rPr>
      </w:pPr>
      <w:r w:rsidRPr="00D53F40">
        <w:rPr>
          <w:rFonts w:cs="Arial"/>
          <w:b/>
          <w:bCs/>
        </w:rPr>
        <w:t>473.</w:t>
      </w:r>
      <w:r w:rsidR="00124B01">
        <w:rPr>
          <w:rFonts w:cs="Arial"/>
          <w:b/>
          <w:bCs/>
        </w:rPr>
        <w:t>4</w:t>
      </w:r>
      <w:r w:rsidR="0011172E">
        <w:rPr>
          <w:rFonts w:cs="Arial"/>
          <w:b/>
          <w:bCs/>
        </w:rPr>
        <w:t>2</w:t>
      </w:r>
      <w:r w:rsidRPr="00D53F40">
        <w:rPr>
          <w:rFonts w:cs="Arial"/>
          <w:b/>
          <w:bCs/>
        </w:rPr>
        <w:t xml:space="preserve"> Mailing </w:t>
      </w:r>
    </w:p>
    <w:p w14:paraId="728C7BB7" w14:textId="77777777" w:rsidR="00D53F40" w:rsidRPr="00D53F40" w:rsidRDefault="00D53F40" w:rsidP="00D53F40">
      <w:pPr>
        <w:rPr>
          <w:rFonts w:cs="Arial"/>
        </w:rPr>
      </w:pPr>
      <w:r w:rsidRPr="00D53F40">
        <w:rPr>
          <w:rFonts w:cs="Arial"/>
        </w:rPr>
        <w:t xml:space="preserve">No customer may send or cause to be sent more than 10 mailings under this exception in any 30-day period. Each mailing under the certain </w:t>
      </w:r>
      <w:proofErr w:type="gramStart"/>
      <w:r w:rsidRPr="00D53F40">
        <w:rPr>
          <w:rFonts w:cs="Arial"/>
        </w:rPr>
        <w:t>individuals</w:t>
      </w:r>
      <w:proofErr w:type="gramEnd"/>
      <w:r w:rsidRPr="00D53F40">
        <w:rPr>
          <w:rFonts w:cs="Arial"/>
        </w:rPr>
        <w:t xml:space="preserve"> exception must: </w:t>
      </w:r>
    </w:p>
    <w:p w14:paraId="12731FCF" w14:textId="7FA9D357" w:rsidR="00D53F40" w:rsidRPr="00D33874" w:rsidRDefault="00D33874" w:rsidP="00FE6779">
      <w:r>
        <w:t>a.</w:t>
      </w:r>
      <w:r>
        <w:tab/>
      </w:r>
      <w:r w:rsidR="00D53F40" w:rsidRPr="00D33874">
        <w:t>Weigh no more than 10 ounces.</w:t>
      </w:r>
    </w:p>
    <w:p w14:paraId="033321CA" w14:textId="6F0555EA" w:rsidR="008627D2" w:rsidRPr="00D53F40" w:rsidRDefault="008627D2" w:rsidP="008627D2">
      <w:r>
        <w:t>b.</w:t>
      </w:r>
      <w:r>
        <w:tab/>
      </w:r>
      <w:r w:rsidRPr="00D53F40">
        <w:t>Use one of the following combinations of services:</w:t>
      </w:r>
    </w:p>
    <w:p w14:paraId="5BA3EA78" w14:textId="77777777" w:rsidR="008627D2" w:rsidRPr="00D33874" w:rsidRDefault="008627D2" w:rsidP="008627D2">
      <w:r>
        <w:t>1.</w:t>
      </w:r>
      <w:r>
        <w:tab/>
      </w:r>
      <w:r w:rsidRPr="00D33874">
        <w:t>Priority Mail Express with Adult Signature Required or Adult Signature Restricted Delivery service (see DMM 503.8.0).</w:t>
      </w:r>
    </w:p>
    <w:p w14:paraId="3A66F540" w14:textId="77777777" w:rsidR="008627D2" w:rsidRPr="00D33874" w:rsidRDefault="008627D2" w:rsidP="008627D2">
      <w:r>
        <w:t>2.</w:t>
      </w:r>
      <w:r>
        <w:tab/>
      </w:r>
      <w:r w:rsidRPr="00D33874">
        <w:t>Priority Mail with Adult Signature Required or Adult Signature Restricted Delivery service.</w:t>
      </w:r>
    </w:p>
    <w:p w14:paraId="28F83745" w14:textId="5DF51311" w:rsidR="00D53F40" w:rsidRPr="00D33874" w:rsidRDefault="00D33874" w:rsidP="00FE6779">
      <w:r>
        <w:t>c.</w:t>
      </w:r>
      <w:r>
        <w:tab/>
      </w:r>
      <w:r w:rsidR="00D53F40" w:rsidRPr="00D33874">
        <w:t>Bear the full name and mailing address of the sender and recipient on the Priority Mail Express or Priority Mail label.</w:t>
      </w:r>
    </w:p>
    <w:p w14:paraId="556D289C" w14:textId="1DE96DFC" w:rsidR="00D53F40" w:rsidRDefault="00D33874">
      <w:r>
        <w:t>d.</w:t>
      </w:r>
      <w:r>
        <w:tab/>
      </w:r>
      <w:r w:rsidR="00BA36DD" w:rsidRPr="00D33874">
        <w:t>B</w:t>
      </w:r>
      <w:r w:rsidR="00D53F40" w:rsidRPr="00D33874">
        <w:t>ear the following exterior marking on the address side of the mailpiece, with the relevant type of item selected: “PERMITTED [CIGARETTE/SMOKELESS TOBACCO/ENDS] MAILING—</w:t>
      </w:r>
      <w:r w:rsidR="007B22AA" w:rsidRPr="000C7CFF">
        <w:t>DELIVER ONLY UPON AGE VERIFICATION</w:t>
      </w:r>
      <w:r w:rsidR="00D53F40" w:rsidRPr="00D33874">
        <w:t>.”</w:t>
      </w:r>
    </w:p>
    <w:p w14:paraId="57F41AD7" w14:textId="2241E977" w:rsidR="00D53F40" w:rsidRPr="00D53F40" w:rsidRDefault="00D53F40" w:rsidP="00D53F40">
      <w:pPr>
        <w:rPr>
          <w:rFonts w:cs="Arial"/>
          <w:b/>
          <w:bCs/>
        </w:rPr>
      </w:pPr>
      <w:r w:rsidRPr="00D53F40">
        <w:rPr>
          <w:rFonts w:cs="Arial"/>
          <w:b/>
          <w:bCs/>
        </w:rPr>
        <w:t>473.</w:t>
      </w:r>
      <w:bookmarkStart w:id="116" w:name="ep347246"/>
      <w:r w:rsidR="00124B01">
        <w:rPr>
          <w:rFonts w:cs="Arial"/>
          <w:b/>
          <w:bCs/>
        </w:rPr>
        <w:t>4</w:t>
      </w:r>
      <w:r w:rsidR="0011172E">
        <w:rPr>
          <w:rFonts w:cs="Arial"/>
          <w:b/>
          <w:bCs/>
        </w:rPr>
        <w:t>3</w:t>
      </w:r>
      <w:r w:rsidRPr="00D53F40">
        <w:rPr>
          <w:rFonts w:cs="Arial"/>
          <w:b/>
          <w:bCs/>
        </w:rPr>
        <w:t xml:space="preserve"> Entry and Acceptance </w:t>
      </w:r>
      <w:bookmarkStart w:id="117" w:name="ep347247"/>
      <w:bookmarkEnd w:id="116"/>
    </w:p>
    <w:p w14:paraId="4AB68E36" w14:textId="77777777" w:rsidR="00D53F40" w:rsidRPr="00D53F40" w:rsidRDefault="00D53F40" w:rsidP="00D53F40">
      <w:pPr>
        <w:rPr>
          <w:rFonts w:cs="Arial"/>
        </w:rPr>
      </w:pPr>
      <w:r w:rsidRPr="00D53F40">
        <w:rPr>
          <w:rFonts w:cs="Arial"/>
        </w:rPr>
        <w:t xml:space="preserve">Mailings under the certain </w:t>
      </w:r>
      <w:proofErr w:type="gramStart"/>
      <w:r w:rsidRPr="00D53F40">
        <w:rPr>
          <w:rFonts w:cs="Arial"/>
        </w:rPr>
        <w:t>individuals</w:t>
      </w:r>
      <w:proofErr w:type="gramEnd"/>
      <w:r w:rsidRPr="00D53F40">
        <w:rPr>
          <w:rFonts w:cs="Arial"/>
        </w:rPr>
        <w:t xml:space="preserve"> exception must be entered under the following conditions: </w:t>
      </w:r>
      <w:bookmarkEnd w:id="117"/>
    </w:p>
    <w:p w14:paraId="587A7ADE" w14:textId="100A1997" w:rsidR="00D53F40" w:rsidRPr="00D33874" w:rsidRDefault="00D33874" w:rsidP="00FE6779">
      <w:r>
        <w:lastRenderedPageBreak/>
        <w:t>a.</w:t>
      </w:r>
      <w:r>
        <w:tab/>
      </w:r>
      <w:bookmarkStart w:id="118" w:name="ep347248"/>
      <w:r w:rsidR="00D53F40" w:rsidRPr="00D33874">
        <w:t xml:space="preserve">Covered products must be tendered via a face-to-face transaction with a Postal Service employee. Applicable mailings may not be tendered through </w:t>
      </w:r>
      <w:r w:rsidR="009430D7">
        <w:t>any entry method prohibited under 473.1.e</w:t>
      </w:r>
      <w:r w:rsidR="00D53F40" w:rsidRPr="00D33874">
        <w:t>.</w:t>
      </w:r>
      <w:bookmarkEnd w:id="118"/>
    </w:p>
    <w:p w14:paraId="6DC87AE6" w14:textId="46AA79B0" w:rsidR="00D53F40" w:rsidRPr="00E51291" w:rsidRDefault="00D33874" w:rsidP="00FE6779">
      <w:bookmarkStart w:id="119" w:name="ep347250"/>
      <w:r>
        <w:t>b.</w:t>
      </w:r>
      <w:r>
        <w:tab/>
      </w:r>
      <w:r w:rsidR="00D53F40" w:rsidRPr="00D33874">
        <w:t>The individual presenting the mailing must furnish a driver</w:t>
      </w:r>
      <w:r w:rsidR="00BF1F0C" w:rsidRPr="00D33874">
        <w:t>’</w:t>
      </w:r>
      <w:r w:rsidR="00D53F40" w:rsidRPr="00D33874">
        <w:t>s license, passport, or other government-issued photo identification that lists age or date of birth. The name on the identification must match the name of the sender appearing in the return address block of the mailpiece.</w:t>
      </w:r>
      <w:bookmarkEnd w:id="119"/>
      <w:r w:rsidR="00EA568B" w:rsidRPr="00D33874">
        <w:t xml:space="preserve"> The customer must be an adult of at least</w:t>
      </w:r>
      <w:r w:rsidR="00DC6570" w:rsidRPr="00D33874">
        <w:t xml:space="preserve"> </w:t>
      </w:r>
      <w:r w:rsidR="00DC6570" w:rsidRPr="00EB6927">
        <w:t xml:space="preserve">the </w:t>
      </w:r>
      <w:r w:rsidR="00A21F97" w:rsidRPr="00EB6927">
        <w:t>minimum age</w:t>
      </w:r>
      <w:r w:rsidR="00DC6570" w:rsidRPr="00EB6927">
        <w:t xml:space="preserve"> at the place of acceptance</w:t>
      </w:r>
      <w:r w:rsidR="00A21F97" w:rsidRPr="00E51291">
        <w:t xml:space="preserve"> (see 471.9).</w:t>
      </w:r>
      <w:r w:rsidR="00EA568B" w:rsidRPr="00E51291">
        <w:t xml:space="preserve"> </w:t>
      </w:r>
    </w:p>
    <w:p w14:paraId="3F1FCB1B" w14:textId="55A64FDF" w:rsidR="00D53F40" w:rsidRPr="00D33874" w:rsidRDefault="00D33874" w:rsidP="00FE6779">
      <w:bookmarkStart w:id="120" w:name="ep347251"/>
      <w:r>
        <w:t>c.</w:t>
      </w:r>
      <w:r>
        <w:tab/>
      </w:r>
      <w:r w:rsidR="00D53F40" w:rsidRPr="00D33874">
        <w:t>For mailings addressed to an individual, at the time the mailing is presented, the customer must orally confirm that the addressee is an adult of at least the minimum age at the place of delivery</w:t>
      </w:r>
      <w:r w:rsidR="00DC6570" w:rsidRPr="00D33874">
        <w:t xml:space="preserve"> </w:t>
      </w:r>
      <w:r w:rsidR="00A21F97" w:rsidRPr="00D33874">
        <w:t>(see 471.9)</w:t>
      </w:r>
      <w:r w:rsidR="00D53F40" w:rsidRPr="00D33874">
        <w:t xml:space="preserve">. </w:t>
      </w:r>
      <w:bookmarkEnd w:id="120"/>
    </w:p>
    <w:p w14:paraId="70728218" w14:textId="5584AF21" w:rsidR="00D53F40" w:rsidRPr="00D53F40" w:rsidRDefault="00D53F40" w:rsidP="00D53F40">
      <w:pPr>
        <w:rPr>
          <w:rFonts w:cs="Arial"/>
          <w:b/>
          <w:bCs/>
        </w:rPr>
      </w:pPr>
      <w:r w:rsidRPr="00D53F40">
        <w:rPr>
          <w:rFonts w:cs="Arial"/>
          <w:b/>
          <w:bCs/>
        </w:rPr>
        <w:t>473.</w:t>
      </w:r>
      <w:bookmarkStart w:id="121" w:name="ep347258"/>
      <w:r w:rsidR="00124B01">
        <w:rPr>
          <w:rFonts w:cs="Arial"/>
          <w:b/>
          <w:bCs/>
        </w:rPr>
        <w:t>4</w:t>
      </w:r>
      <w:r w:rsidR="0011172E">
        <w:rPr>
          <w:rFonts w:cs="Arial"/>
          <w:b/>
          <w:bCs/>
        </w:rPr>
        <w:t>4</w:t>
      </w:r>
      <w:r w:rsidRPr="00D53F40">
        <w:rPr>
          <w:rFonts w:cs="Arial"/>
          <w:b/>
          <w:bCs/>
        </w:rPr>
        <w:t xml:space="preserve"> Delivery </w:t>
      </w:r>
      <w:bookmarkEnd w:id="121"/>
    </w:p>
    <w:p w14:paraId="73F5C9ED" w14:textId="6EC4C4CB" w:rsidR="00D53F40" w:rsidRPr="00D53F40" w:rsidRDefault="001B4D73" w:rsidP="00D53F40">
      <w:pPr>
        <w:rPr>
          <w:rFonts w:cs="Arial"/>
        </w:rPr>
      </w:pPr>
      <w:bookmarkStart w:id="122" w:name="ep347259"/>
      <w:r w:rsidRPr="00D53F40">
        <w:rPr>
          <w:rFonts w:cs="Arial"/>
        </w:rPr>
        <w:t xml:space="preserve">Mailings bearing the marking for </w:t>
      </w:r>
      <w:r>
        <w:rPr>
          <w:rFonts w:cs="Arial"/>
        </w:rPr>
        <w:t>certain individuals</w:t>
      </w:r>
      <w:r w:rsidRPr="00D53F40">
        <w:rPr>
          <w:rFonts w:cs="Arial"/>
        </w:rPr>
        <w:t xml:space="preserve"> </w:t>
      </w:r>
      <w:r>
        <w:rPr>
          <w:rFonts w:cs="Arial"/>
        </w:rPr>
        <w:t xml:space="preserve">are eligible for delivery </w:t>
      </w:r>
      <w:r w:rsidRPr="00D53F40">
        <w:rPr>
          <w:rFonts w:cs="Arial"/>
        </w:rPr>
        <w:t xml:space="preserve">only </w:t>
      </w:r>
      <w:r w:rsidR="00D53F40" w:rsidRPr="00D53F40">
        <w:rPr>
          <w:rFonts w:cs="Arial"/>
        </w:rPr>
        <w:t xml:space="preserve">under the following conditions: </w:t>
      </w:r>
      <w:bookmarkEnd w:id="122"/>
    </w:p>
    <w:p w14:paraId="37508900" w14:textId="78D453DA" w:rsidR="00D53F40" w:rsidRPr="00E51291" w:rsidRDefault="00D33874" w:rsidP="00FE6779">
      <w:bookmarkStart w:id="123" w:name="ep347260"/>
      <w:r>
        <w:t>a.</w:t>
      </w:r>
      <w:r>
        <w:tab/>
      </w:r>
      <w:r w:rsidR="00D53F40" w:rsidRPr="00D33874">
        <w:t>The recipient receiving or signing for the article must be an adult of at least the minimum age at the place of delivery</w:t>
      </w:r>
      <w:r w:rsidR="00DC6570" w:rsidRPr="00D33874">
        <w:t xml:space="preserve"> </w:t>
      </w:r>
      <w:r w:rsidR="00A21F97" w:rsidRPr="00D33874">
        <w:t>(see 471.9)</w:t>
      </w:r>
      <w:r w:rsidR="00D53F40" w:rsidRPr="00D33874">
        <w:t>. This must be confirmed by postal employees before releasing or delivering the item to the recipient.</w:t>
      </w:r>
      <w:bookmarkEnd w:id="123"/>
      <w:r w:rsidR="00D53F40" w:rsidRPr="00D33874">
        <w:t xml:space="preserve"> </w:t>
      </w:r>
      <w:bookmarkStart w:id="124" w:name="ep347261"/>
      <w:r w:rsidR="00D53F40" w:rsidRPr="00D33874">
        <w:t>The recipient must furnish proof of age via a driver</w:t>
      </w:r>
      <w:r w:rsidR="00BF1F0C" w:rsidRPr="00EB6927">
        <w:t>’</w:t>
      </w:r>
      <w:r w:rsidR="00D53F40" w:rsidRPr="00EB6927">
        <w:t xml:space="preserve">s license, passport, or other government-issued photo identification that lists age or date of birth. </w:t>
      </w:r>
      <w:bookmarkEnd w:id="124"/>
    </w:p>
    <w:p w14:paraId="27A4A13D" w14:textId="7E16FD30" w:rsidR="00D53F40" w:rsidRPr="00D33874" w:rsidRDefault="00D33874" w:rsidP="00FE6779">
      <w:bookmarkStart w:id="125" w:name="ep347262"/>
      <w:r>
        <w:t>b.</w:t>
      </w:r>
      <w:r>
        <w:tab/>
      </w:r>
      <w:r w:rsidR="008627D2">
        <w:t>O</w:t>
      </w:r>
      <w:r w:rsidR="00D53F40" w:rsidRPr="00D33874">
        <w:t xml:space="preserve">nce age is established, the recipient must sign </w:t>
      </w:r>
      <w:r w:rsidR="006423F0">
        <w:t>for receipt of delivery</w:t>
      </w:r>
      <w:r w:rsidR="00D53F40" w:rsidRPr="00D33874">
        <w:t xml:space="preserve">. </w:t>
      </w:r>
      <w:bookmarkEnd w:id="125"/>
    </w:p>
    <w:p w14:paraId="79D2FA46" w14:textId="02B4DF4E" w:rsidR="00D53F40" w:rsidRPr="00D53F40" w:rsidRDefault="00D53F40" w:rsidP="00D53F40">
      <w:pPr>
        <w:rPr>
          <w:rFonts w:cs="Arial"/>
          <w:b/>
          <w:bCs/>
        </w:rPr>
      </w:pPr>
      <w:r w:rsidRPr="00D53F40">
        <w:rPr>
          <w:rFonts w:cs="Arial"/>
          <w:b/>
          <w:bCs/>
        </w:rPr>
        <w:t>473.</w:t>
      </w:r>
      <w:r w:rsidR="00124B01">
        <w:rPr>
          <w:rFonts w:cs="Arial"/>
          <w:b/>
          <w:bCs/>
        </w:rPr>
        <w:t>5</w:t>
      </w:r>
      <w:r w:rsidRPr="00D53F40">
        <w:rPr>
          <w:rFonts w:cs="Arial"/>
          <w:b/>
          <w:bCs/>
        </w:rPr>
        <w:t xml:space="preserve"> </w:t>
      </w:r>
      <w:bookmarkStart w:id="126" w:name="ep347955"/>
      <w:r w:rsidRPr="00D53F40">
        <w:rPr>
          <w:rFonts w:cs="Arial"/>
          <w:b/>
          <w:bCs/>
        </w:rPr>
        <w:t xml:space="preserve">Consumer Testing Exception </w:t>
      </w:r>
      <w:bookmarkEnd w:id="126"/>
    </w:p>
    <w:p w14:paraId="2DD8533B" w14:textId="239FE666" w:rsidR="00D53F40" w:rsidRPr="00D53F40" w:rsidRDefault="00D53F40" w:rsidP="00D53F40">
      <w:pPr>
        <w:rPr>
          <w:rFonts w:cs="Arial"/>
        </w:rPr>
      </w:pPr>
      <w:bookmarkStart w:id="127" w:name="ep347956"/>
      <w:r w:rsidRPr="00D53F40">
        <w:rPr>
          <w:rFonts w:cs="Arial"/>
        </w:rPr>
        <w:t xml:space="preserve">The consumer testing exception permits a legally operating cigarette manufacturer or a legally authorized agent of a legally operating cigarette </w:t>
      </w:r>
      <w:r w:rsidRPr="00D53F40">
        <w:rPr>
          <w:rFonts w:cs="Arial"/>
        </w:rPr>
        <w:lastRenderedPageBreak/>
        <w:t xml:space="preserve">manufacturer to mail cigarettes to verified adult smokers solely for consumer testing purposes. The manufacturer for which mailings are entered under this exception must have a permit, in good standing, issued under 26 U.S.C. § 5713. The consumer testing exception applies only to cigarettes and not to smokeless tobacco or ENDS. </w:t>
      </w:r>
      <w:bookmarkEnd w:id="127"/>
      <w:r w:rsidR="0011172E" w:rsidRPr="00D53F40">
        <w:rPr>
          <w:rFonts w:cs="Arial"/>
        </w:rPr>
        <w:t>Mailability is further restricted to mailings that comply with all conditions in 473.</w:t>
      </w:r>
      <w:r w:rsidR="0011172E">
        <w:rPr>
          <w:rFonts w:cs="Arial"/>
        </w:rPr>
        <w:t>5</w:t>
      </w:r>
      <w:r w:rsidR="0011172E" w:rsidRPr="00D53F40">
        <w:rPr>
          <w:rFonts w:cs="Arial"/>
        </w:rPr>
        <w:t>1 to 473.</w:t>
      </w:r>
      <w:r w:rsidR="0011172E">
        <w:rPr>
          <w:rFonts w:cs="Arial"/>
        </w:rPr>
        <w:t>54</w:t>
      </w:r>
      <w:r w:rsidR="0011172E" w:rsidRPr="00D53F40">
        <w:rPr>
          <w:rFonts w:cs="Arial"/>
        </w:rPr>
        <w:t>.</w:t>
      </w:r>
    </w:p>
    <w:p w14:paraId="488A67B1" w14:textId="48568C54" w:rsidR="00D53F40" w:rsidRPr="00D53F40" w:rsidRDefault="00D53F40" w:rsidP="00D53F40">
      <w:pPr>
        <w:rPr>
          <w:rFonts w:cs="Arial"/>
          <w:b/>
          <w:bCs/>
        </w:rPr>
      </w:pPr>
      <w:r w:rsidRPr="00D53F40">
        <w:rPr>
          <w:rFonts w:cs="Arial"/>
          <w:b/>
          <w:bCs/>
        </w:rPr>
        <w:t>473.</w:t>
      </w:r>
      <w:r w:rsidR="00124B01">
        <w:rPr>
          <w:rFonts w:cs="Arial"/>
          <w:b/>
          <w:bCs/>
        </w:rPr>
        <w:t>5</w:t>
      </w:r>
      <w:r w:rsidRPr="00D53F40">
        <w:rPr>
          <w:rFonts w:cs="Arial"/>
          <w:b/>
          <w:bCs/>
        </w:rPr>
        <w:t xml:space="preserve">1 </w:t>
      </w:r>
      <w:bookmarkStart w:id="128" w:name="ep347267"/>
      <w:r w:rsidRPr="00D53F40">
        <w:rPr>
          <w:rFonts w:cs="Arial"/>
          <w:b/>
          <w:bCs/>
        </w:rPr>
        <w:t xml:space="preserve">Application </w:t>
      </w:r>
      <w:bookmarkEnd w:id="128"/>
    </w:p>
    <w:p w14:paraId="4CAC31DF" w14:textId="601FA708" w:rsidR="00D53F40" w:rsidRPr="00D53F40" w:rsidRDefault="00D53F40" w:rsidP="00D53F40">
      <w:pPr>
        <w:rPr>
          <w:rFonts w:cs="Arial"/>
        </w:rPr>
      </w:pPr>
      <w:bookmarkStart w:id="129" w:name="_Hlk81462545"/>
      <w:bookmarkStart w:id="130" w:name="ep347268"/>
      <w:r w:rsidRPr="00D53F40">
        <w:rPr>
          <w:rFonts w:cs="Arial"/>
        </w:rPr>
        <w:t xml:space="preserve">Each person seeking to mail cigarettes under the consumer testing exception must submit a complete application (PS Form 4616), along with all supporting documentation requested on that form, by </w:t>
      </w:r>
      <w:bookmarkStart w:id="131" w:name="_Hlk79086447"/>
      <w:r w:rsidRPr="00D53F40">
        <w:rPr>
          <w:rFonts w:cs="Arial"/>
        </w:rPr>
        <w:t>email to MDA@usps.gov</w:t>
      </w:r>
      <w:bookmarkEnd w:id="129"/>
      <w:bookmarkEnd w:id="131"/>
      <w:r w:rsidRPr="00D53F40">
        <w:rPr>
          <w:rFonts w:cs="Arial"/>
        </w:rPr>
        <w:t>.</w:t>
      </w:r>
      <w:r w:rsidR="002415F8">
        <w:rPr>
          <w:rFonts w:cs="Arial"/>
        </w:rPr>
        <w:t xml:space="preserve"> </w:t>
      </w:r>
      <w:r w:rsidRPr="00D53F40">
        <w:rPr>
          <w:rFonts w:cs="Arial"/>
        </w:rPr>
        <w:t xml:space="preserve">For each application, the following conditions must be met: </w:t>
      </w:r>
      <w:bookmarkEnd w:id="130"/>
    </w:p>
    <w:p w14:paraId="050208DD" w14:textId="7184D2AE" w:rsidR="00D53F40" w:rsidRPr="00D53F40" w:rsidRDefault="00D33874" w:rsidP="00FE6779">
      <w:bookmarkStart w:id="132" w:name="ep347269"/>
      <w:r>
        <w:t>a.</w:t>
      </w:r>
      <w:r>
        <w:tab/>
      </w:r>
      <w:r w:rsidR="00D53F40" w:rsidRPr="00D53F40">
        <w:t>The applicant must furnish the following information:</w:t>
      </w:r>
    </w:p>
    <w:p w14:paraId="3A1AC4DA" w14:textId="3957B520" w:rsidR="00D53F40" w:rsidRPr="00D33874" w:rsidRDefault="00D33874" w:rsidP="00FE6779">
      <w:r>
        <w:t>1.</w:t>
      </w:r>
      <w:r>
        <w:tab/>
      </w:r>
      <w:r w:rsidR="00D53F40" w:rsidRPr="00D33874">
        <w:t>A copy of the relevant manufacturer’s permit issued under 26 U.S.C. §</w:t>
      </w:r>
      <w:r>
        <w:t> </w:t>
      </w:r>
      <w:r w:rsidR="00D53F40" w:rsidRPr="00D33874">
        <w:t xml:space="preserve">5713. </w:t>
      </w:r>
    </w:p>
    <w:p w14:paraId="2FFEAC5F" w14:textId="6CA38D72" w:rsidR="00D53F40" w:rsidRPr="00D33874" w:rsidRDefault="00D33874" w:rsidP="00FE6779">
      <w:r>
        <w:t>2.</w:t>
      </w:r>
      <w:r>
        <w:tab/>
      </w:r>
      <w:r w:rsidR="00D53F40" w:rsidRPr="00D33874">
        <w:t>If the applicant is an agent of a manufacturer, complete details about the agency relationship with the manufacturer.</w:t>
      </w:r>
    </w:p>
    <w:p w14:paraId="582795CC" w14:textId="1BFD18E8" w:rsidR="00D53F40" w:rsidRPr="00D33874" w:rsidRDefault="00D33874" w:rsidP="00FE6779">
      <w:r>
        <w:t>3.</w:t>
      </w:r>
      <w:r>
        <w:tab/>
      </w:r>
      <w:r w:rsidR="00D53F40" w:rsidRPr="00D33874">
        <w:t xml:space="preserve">All locations where mail containing cigarettes for consumer testing will be presented. </w:t>
      </w:r>
    </w:p>
    <w:p w14:paraId="01AA926C" w14:textId="1B7630C2" w:rsidR="00D53F40" w:rsidRPr="00D33874" w:rsidRDefault="00D33874" w:rsidP="00FE6779">
      <w:bookmarkStart w:id="133" w:name="ep347270"/>
      <w:bookmarkEnd w:id="132"/>
      <w:r>
        <w:t>b.</w:t>
      </w:r>
      <w:r>
        <w:tab/>
      </w:r>
      <w:r w:rsidR="00D53F40" w:rsidRPr="00D33874">
        <w:t>As part of its application, the applicant must certify in writing that it will comply with the following requirements:</w:t>
      </w:r>
      <w:bookmarkEnd w:id="133"/>
    </w:p>
    <w:p w14:paraId="07BFEE83" w14:textId="2832BE8A" w:rsidR="00D53F40" w:rsidRPr="00D33874" w:rsidRDefault="00D33874" w:rsidP="00FE6779">
      <w:r>
        <w:t>1.</w:t>
      </w:r>
      <w:r>
        <w:tab/>
      </w:r>
      <w:bookmarkStart w:id="134" w:name="ep347271"/>
      <w:r w:rsidR="00D53F40" w:rsidRPr="00D33874">
        <w:t>Any recipient of consumer testing samples of cigarettes is an adult established smoker.</w:t>
      </w:r>
      <w:bookmarkEnd w:id="134"/>
    </w:p>
    <w:p w14:paraId="692DD0AF" w14:textId="36BCDC02" w:rsidR="00D53F40" w:rsidRPr="00D33874" w:rsidRDefault="00D33874" w:rsidP="00FE6779">
      <w:bookmarkStart w:id="135" w:name="ep347272"/>
      <w:r>
        <w:t>2.</w:t>
      </w:r>
      <w:r>
        <w:tab/>
      </w:r>
      <w:r w:rsidR="00D53F40" w:rsidRPr="00D33874">
        <w:t>No recipient has made any payment for the cigarettes</w:t>
      </w:r>
      <w:bookmarkEnd w:id="135"/>
      <w:r w:rsidR="00D53F40" w:rsidRPr="00D33874">
        <w:t>.</w:t>
      </w:r>
    </w:p>
    <w:p w14:paraId="1DABCA25" w14:textId="0C43B885" w:rsidR="00D53F40" w:rsidRPr="00D33874" w:rsidRDefault="00D33874" w:rsidP="00FE6779">
      <w:bookmarkStart w:id="136" w:name="ep347273"/>
      <w:r>
        <w:lastRenderedPageBreak/>
        <w:t>3.</w:t>
      </w:r>
      <w:r>
        <w:tab/>
      </w:r>
      <w:r w:rsidR="00D53F40" w:rsidRPr="00D33874">
        <w:t>Every recipient will sign a statement indicating that the recipient wishes to receive the mailings</w:t>
      </w:r>
      <w:bookmarkEnd w:id="136"/>
      <w:r w:rsidR="00D53F40" w:rsidRPr="00D33874">
        <w:t>.</w:t>
      </w:r>
    </w:p>
    <w:p w14:paraId="6276AC4E" w14:textId="02B1BABE" w:rsidR="00D53F40" w:rsidRPr="00D33874" w:rsidRDefault="00D33874" w:rsidP="00FE6779">
      <w:bookmarkStart w:id="137" w:name="ep347274"/>
      <w:r>
        <w:t>4.</w:t>
      </w:r>
      <w:r>
        <w:tab/>
      </w:r>
      <w:r w:rsidR="00D53F40" w:rsidRPr="00D33874">
        <w:t>The manufacturer or the legally authorized agent of the manufacturer will offer the opportunity for any recipient to withdraw the recipient</w:t>
      </w:r>
      <w:r w:rsidR="00BF1F0C" w:rsidRPr="00D33874">
        <w:t>’</w:t>
      </w:r>
      <w:r w:rsidR="00D53F40" w:rsidRPr="00D33874">
        <w:t xml:space="preserve">s written statement at least once in every 3-month period. </w:t>
      </w:r>
      <w:bookmarkEnd w:id="137"/>
    </w:p>
    <w:p w14:paraId="7DBD1562" w14:textId="205471AF" w:rsidR="00D53F40" w:rsidRPr="00D33874" w:rsidRDefault="00D33874" w:rsidP="00FE6779">
      <w:bookmarkStart w:id="138" w:name="ep347275"/>
      <w:r>
        <w:t>5.</w:t>
      </w:r>
      <w:r>
        <w:tab/>
      </w:r>
      <w:r w:rsidR="00D53F40" w:rsidRPr="00D33874">
        <w:t>Any package mailed under this exception will contain no more than 12 packs of cigarettes (maximum of 240 cigarettes) on which all taxes levied on the cigarettes by the state and locality of delivery have been paid and all related state tax stamps or other tax-payment indicia have been applied</w:t>
      </w:r>
      <w:bookmarkEnd w:id="138"/>
      <w:r w:rsidR="00D53F40" w:rsidRPr="00D33874">
        <w:t>.</w:t>
      </w:r>
    </w:p>
    <w:p w14:paraId="0B369717" w14:textId="7CBB02EE" w:rsidR="00D53F40" w:rsidRPr="000C7CFF" w:rsidRDefault="000C7CFF" w:rsidP="00FE6779">
      <w:r>
        <w:t>c.</w:t>
      </w:r>
      <w:r>
        <w:tab/>
      </w:r>
      <w:bookmarkStart w:id="139" w:name="ep347277"/>
      <w:r w:rsidR="00D53F40" w:rsidRPr="000C7CFF">
        <w:t xml:space="preserve">The application must be submitted to the Director, Pricing and Classification Service Center (PCSC) via email to MDA@usps.gov. </w:t>
      </w:r>
      <w:bookmarkEnd w:id="139"/>
      <w:r w:rsidR="00D53F40" w:rsidRPr="000C7CFF">
        <w:t>The applicant bears the burden of establishing eligibility.</w:t>
      </w:r>
    </w:p>
    <w:p w14:paraId="484EFB83" w14:textId="47616342" w:rsidR="00D53F40" w:rsidRPr="00057FF0" w:rsidRDefault="000C7CFF" w:rsidP="00FE6779">
      <w:bookmarkStart w:id="140" w:name="ep347278"/>
      <w:r>
        <w:t>d.</w:t>
      </w:r>
      <w:r>
        <w:tab/>
      </w:r>
      <w:r w:rsidR="00D53F40" w:rsidRPr="000C7CFF">
        <w:t xml:space="preserve">The applicant must provide any requested copies of records establishing compliance to the Director, PCSC, and/or the Director, Product Classification (see </w:t>
      </w:r>
      <w:bookmarkEnd w:id="140"/>
      <w:r w:rsidR="00D53F40" w:rsidRPr="00F33C1B">
        <w:t>214 for address), upon request,</w:t>
      </w:r>
      <w:r w:rsidR="00D53F40" w:rsidRPr="00E57932">
        <w:t xml:space="preserve"> no later than 10 business days after the date of the request.</w:t>
      </w:r>
    </w:p>
    <w:p w14:paraId="1913A63C" w14:textId="6A90EB82" w:rsidR="00D53F40" w:rsidRPr="00E57932" w:rsidRDefault="000C7CFF" w:rsidP="00FE6779">
      <w:bookmarkStart w:id="141" w:name="ep347279"/>
      <w:r>
        <w:t>e.</w:t>
      </w:r>
      <w:r>
        <w:tab/>
      </w:r>
      <w:r w:rsidR="00D53F40" w:rsidRPr="000C7CFF">
        <w:t xml:space="preserve">The Director, PCSC, will </w:t>
      </w:r>
      <w:proofErr w:type="gramStart"/>
      <w:r w:rsidR="00D53F40" w:rsidRPr="000C7CFF">
        <w:t>make a determination</w:t>
      </w:r>
      <w:proofErr w:type="gramEnd"/>
      <w:r w:rsidR="00D53F40" w:rsidRPr="000C7CFF">
        <w:t xml:space="preserve"> of eligibility to mail under the consumer testing exception. The Director, PCSC, may approve or deny an application in its entirety or only with re</w:t>
      </w:r>
      <w:r w:rsidR="00D53F40" w:rsidRPr="00F33C1B">
        <w:t xml:space="preserve">spect to certain mailers and/or recipients. A number is assigned to each letter of eligibility. </w:t>
      </w:r>
    </w:p>
    <w:p w14:paraId="21DD16E1" w14:textId="45F94EF4" w:rsidR="00D53F40" w:rsidRPr="00E57932" w:rsidRDefault="000C7CFF" w:rsidP="00FE6779">
      <w:r>
        <w:t>f.</w:t>
      </w:r>
      <w:r>
        <w:tab/>
      </w:r>
      <w:r w:rsidR="00D53F40" w:rsidRPr="000C7CFF">
        <w:t>An applicant or authorized mailer must update the information in its application</w:t>
      </w:r>
      <w:r w:rsidR="00045DC6" w:rsidRPr="000C7CFF">
        <w:t xml:space="preserve"> with the Director</w:t>
      </w:r>
      <w:r w:rsidR="00897B26">
        <w:t>,</w:t>
      </w:r>
      <w:r w:rsidR="00045DC6" w:rsidRPr="000C7CFF">
        <w:t xml:space="preserve"> </w:t>
      </w:r>
      <w:r w:rsidR="00045DC6" w:rsidRPr="006C77CD">
        <w:t>PCSC</w:t>
      </w:r>
      <w:r w:rsidR="00D53F40" w:rsidRPr="006C77CD">
        <w:t>, as necessary, in a timely manner upon becoming aware o</w:t>
      </w:r>
      <w:r w:rsidR="00D53F40" w:rsidRPr="00F33C1B">
        <w:t xml:space="preserve">f a change in application information, not later than 15 days </w:t>
      </w:r>
      <w:r w:rsidR="00D53F40" w:rsidRPr="00F33C1B">
        <w:lastRenderedPageBreak/>
        <w:t xml:space="preserve">prior to conducting any mailing, for as long as it continues to mail under the consumer testing exception. </w:t>
      </w:r>
    </w:p>
    <w:p w14:paraId="648597D6" w14:textId="601439B4" w:rsidR="00D53F40" w:rsidRPr="006C77CD" w:rsidRDefault="000C7CFF" w:rsidP="00FE6779">
      <w:r>
        <w:t>g.</w:t>
      </w:r>
      <w:r>
        <w:tab/>
      </w:r>
      <w:bookmarkStart w:id="142" w:name="ep347280"/>
      <w:bookmarkEnd w:id="141"/>
      <w:r w:rsidR="00D53F40" w:rsidRPr="000C7CFF">
        <w:t>Any determination of eligibility to mail under this exception shall lapse if the authorized mailer does not tender any mail under this exception within any 3-year period. After that time, the mailer must apply for and receive new authorization for any further mailings under this exception.</w:t>
      </w:r>
      <w:bookmarkEnd w:id="142"/>
    </w:p>
    <w:p w14:paraId="5FD40456" w14:textId="48F178CB" w:rsidR="00D53F40" w:rsidRPr="00D53F40" w:rsidRDefault="00D53F40" w:rsidP="00D53F40">
      <w:pPr>
        <w:rPr>
          <w:rFonts w:cs="Arial"/>
          <w:b/>
          <w:bCs/>
        </w:rPr>
      </w:pPr>
      <w:r w:rsidRPr="00D53F40">
        <w:rPr>
          <w:rFonts w:cs="Arial"/>
          <w:b/>
          <w:bCs/>
        </w:rPr>
        <w:t>473.</w:t>
      </w:r>
      <w:r w:rsidR="00124B01">
        <w:rPr>
          <w:rFonts w:cs="Arial"/>
          <w:b/>
          <w:bCs/>
        </w:rPr>
        <w:t>5</w:t>
      </w:r>
      <w:r w:rsidRPr="00D53F40">
        <w:rPr>
          <w:rFonts w:cs="Arial"/>
          <w:b/>
          <w:bCs/>
        </w:rPr>
        <w:t xml:space="preserve">2 </w:t>
      </w:r>
      <w:bookmarkStart w:id="143" w:name="ep347281"/>
      <w:r w:rsidRPr="00D53F40">
        <w:rPr>
          <w:rFonts w:cs="Arial"/>
          <w:b/>
          <w:bCs/>
        </w:rPr>
        <w:t xml:space="preserve">Mailing </w:t>
      </w:r>
      <w:bookmarkEnd w:id="143"/>
    </w:p>
    <w:p w14:paraId="53558BA7" w14:textId="72B3D5A4" w:rsidR="00D53F40" w:rsidRPr="00D53F40" w:rsidRDefault="00D53F40" w:rsidP="00D53F40">
      <w:pPr>
        <w:rPr>
          <w:rFonts w:cs="Arial"/>
        </w:rPr>
      </w:pPr>
      <w:bookmarkStart w:id="144" w:name="ep347284"/>
      <w:r w:rsidRPr="00D53F40">
        <w:rPr>
          <w:rFonts w:cs="Arial"/>
        </w:rPr>
        <w:t>All mailings under the consumer testing exception:</w:t>
      </w:r>
      <w:bookmarkEnd w:id="144"/>
    </w:p>
    <w:p w14:paraId="13DB73D1" w14:textId="4151D3D4" w:rsidR="00D53F40" w:rsidRPr="006C77CD" w:rsidRDefault="000C7CFF" w:rsidP="00FE6779">
      <w:bookmarkStart w:id="145" w:name="ep353510"/>
      <w:r>
        <w:t>a.</w:t>
      </w:r>
      <w:r>
        <w:tab/>
      </w:r>
      <w:r w:rsidR="00D53F40" w:rsidRPr="000C7CFF">
        <w:t>Must be limited in tobacco content to no more than 12 packs of cigarettes (maximum 240 cigarettes) on which all taxes levied on the cigarettes by the destination state and locality have been paid and all related state tax stamps or other tax-payment indicia have been applied.</w:t>
      </w:r>
    </w:p>
    <w:p w14:paraId="64F6CCD9" w14:textId="695375E6" w:rsidR="00D53F40" w:rsidRPr="000C7CFF" w:rsidRDefault="000C7CFF" w:rsidP="00FE6779">
      <w:r>
        <w:t>b.</w:t>
      </w:r>
      <w:r>
        <w:tab/>
      </w:r>
      <w:r w:rsidR="00D53F40" w:rsidRPr="000C7CFF">
        <w:t>Must use one of the following combinations of services:</w:t>
      </w:r>
    </w:p>
    <w:p w14:paraId="6B1D9C50" w14:textId="7DDA3347" w:rsidR="00D53F40" w:rsidRPr="000C7CFF" w:rsidRDefault="000C7CFF" w:rsidP="00FE6779">
      <w:r>
        <w:t>1.</w:t>
      </w:r>
      <w:r>
        <w:tab/>
      </w:r>
      <w:r w:rsidR="00D53F40" w:rsidRPr="000C7CFF">
        <w:t>Priority Mail Express with Adult Signature Restricted Delivery service (see DMM 503.8.0).</w:t>
      </w:r>
    </w:p>
    <w:p w14:paraId="6A029016" w14:textId="0D82D493" w:rsidR="00D53F40" w:rsidRPr="000C7CFF" w:rsidRDefault="000C7CFF" w:rsidP="00FE6779">
      <w:r>
        <w:t>2.</w:t>
      </w:r>
      <w:r>
        <w:tab/>
      </w:r>
      <w:r w:rsidR="00D53F40" w:rsidRPr="000C7CFF">
        <w:t>Priority Mail with Adult Signature Restricted Delivery service.</w:t>
      </w:r>
    </w:p>
    <w:p w14:paraId="49A0CFD7" w14:textId="697E948E" w:rsidR="00D53F40" w:rsidRPr="00E57932" w:rsidRDefault="000C7CFF" w:rsidP="00FE6779">
      <w:r>
        <w:t>c.</w:t>
      </w:r>
      <w:r>
        <w:tab/>
      </w:r>
      <w:bookmarkStart w:id="146" w:name="ep353511"/>
      <w:bookmarkEnd w:id="145"/>
      <w:r w:rsidR="00D53F40" w:rsidRPr="000C7CFF">
        <w:t>Be accompanied by a Domestic Return Receipt (PS Form 3811). The sender</w:t>
      </w:r>
      <w:r w:rsidR="00BF1F0C" w:rsidRPr="000C7CFF">
        <w:t>’</w:t>
      </w:r>
      <w:r w:rsidR="00D53F40" w:rsidRPr="000C7CFF">
        <w:t>s address block must bear the eligibility number issued by the</w:t>
      </w:r>
      <w:r w:rsidR="00D53F40" w:rsidRPr="006C77CD">
        <w:t xml:space="preserve"> PCSC and be made returna</w:t>
      </w:r>
      <w:r w:rsidR="00D53F40" w:rsidRPr="00F33C1B">
        <w:t>ble to the address as shown below:</w:t>
      </w:r>
    </w:p>
    <w:p w14:paraId="39523F2D" w14:textId="6BF92F33" w:rsidR="00D53F40" w:rsidRPr="00D53F40" w:rsidRDefault="00D53F40" w:rsidP="00FE6779">
      <w:pPr>
        <w:rPr>
          <w:rFonts w:cs="Arial"/>
        </w:rPr>
      </w:pPr>
      <w:r w:rsidRPr="00D53F40">
        <w:rPr>
          <w:rFonts w:cs="Arial"/>
        </w:rPr>
        <w:t>PCSC, PACT MAILING OFFICE</w:t>
      </w:r>
      <w:r w:rsidRPr="00D53F40">
        <w:rPr>
          <w:rFonts w:cs="Arial"/>
        </w:rPr>
        <w:br/>
        <w:t>USPS ELIGIBILITY NO. XX-00-0000</w:t>
      </w:r>
      <w:r w:rsidRPr="00D53F40">
        <w:rPr>
          <w:rFonts w:cs="Arial"/>
        </w:rPr>
        <w:br/>
        <w:t>90 Church St</w:t>
      </w:r>
      <w:r w:rsidR="004B2E00">
        <w:rPr>
          <w:rFonts w:cs="Arial"/>
        </w:rPr>
        <w:t>.,</w:t>
      </w:r>
      <w:r w:rsidRPr="00D53F40">
        <w:rPr>
          <w:rFonts w:cs="Arial"/>
        </w:rPr>
        <w:t xml:space="preserve"> Ste 3100</w:t>
      </w:r>
      <w:r w:rsidRPr="00D53F40">
        <w:rPr>
          <w:rFonts w:cs="Arial"/>
        </w:rPr>
        <w:br/>
        <w:t>New York</w:t>
      </w:r>
      <w:r w:rsidR="004B2E00">
        <w:rPr>
          <w:rFonts w:cs="Arial"/>
        </w:rPr>
        <w:t>,</w:t>
      </w:r>
      <w:r w:rsidRPr="00D53F40">
        <w:rPr>
          <w:rFonts w:cs="Arial"/>
        </w:rPr>
        <w:t xml:space="preserve"> NY 10007-2951</w:t>
      </w:r>
    </w:p>
    <w:bookmarkEnd w:id="146"/>
    <w:p w14:paraId="234E738C" w14:textId="65BA4CC8" w:rsidR="00D53F40" w:rsidRPr="000C7CFF" w:rsidRDefault="00A253E1" w:rsidP="00FE6779">
      <w:r>
        <w:lastRenderedPageBreak/>
        <w:t>d</w:t>
      </w:r>
      <w:r w:rsidR="000C7CFF">
        <w:t>.</w:t>
      </w:r>
      <w:r w:rsidR="000C7CFF">
        <w:tab/>
      </w:r>
      <w:bookmarkStart w:id="147" w:name="ep353512"/>
      <w:r w:rsidR="00D53F40" w:rsidRPr="000C7CFF">
        <w:t>Must bear the following marking: “PERMITTED CIGARETTE MAILING—DELIVER ONLY TO ADDRESSEE UPON AGE VERIFICATION” on the address side of the mailpiece</w:t>
      </w:r>
      <w:r w:rsidR="00D53F40" w:rsidRPr="00FE6779">
        <w:t>.</w:t>
      </w:r>
      <w:bookmarkEnd w:id="147"/>
    </w:p>
    <w:p w14:paraId="13B37F4E" w14:textId="372092E9" w:rsidR="00D53F40" w:rsidRPr="006C77CD" w:rsidRDefault="00A253E1" w:rsidP="00FE6779">
      <w:bookmarkStart w:id="148" w:name="ep347288"/>
      <w:r>
        <w:t>e</w:t>
      </w:r>
      <w:r w:rsidR="000C7CFF">
        <w:t>.</w:t>
      </w:r>
      <w:r w:rsidR="000C7CFF">
        <w:tab/>
      </w:r>
      <w:r w:rsidR="00D53F40" w:rsidRPr="000C7CFF">
        <w:t>Must bear the name and full mailing addresses of both the mailer and recipient, both of which must match exactly those listed on the authorized mailer</w:t>
      </w:r>
      <w:r w:rsidR="00BF1F0C" w:rsidRPr="000C7CFF">
        <w:t>’</w:t>
      </w:r>
      <w:r w:rsidR="00D53F40" w:rsidRPr="000C7CFF">
        <w:t>s application on file with the Postal Servi</w:t>
      </w:r>
      <w:r w:rsidR="00D53F40" w:rsidRPr="006C77CD">
        <w:t xml:space="preserve">ce.  </w:t>
      </w:r>
      <w:bookmarkEnd w:id="148"/>
    </w:p>
    <w:p w14:paraId="682784B6" w14:textId="77B0D0F4" w:rsidR="00D53F40" w:rsidRPr="000C7CFF" w:rsidRDefault="00A253E1" w:rsidP="00FE6779">
      <w:bookmarkStart w:id="149" w:name="ep347290"/>
      <w:r>
        <w:t>f</w:t>
      </w:r>
      <w:r w:rsidR="000C7CFF">
        <w:t>.</w:t>
      </w:r>
      <w:r w:rsidR="000C7CFF">
        <w:tab/>
      </w:r>
      <w:r w:rsidR="00D53F40" w:rsidRPr="000C7CFF">
        <w:t>May not be addressed to an addressee located in a state that prohibits the delivery or shipment of cigarettes to individuals in the destination state.</w:t>
      </w:r>
      <w:bookmarkEnd w:id="149"/>
    </w:p>
    <w:p w14:paraId="4F1B2EDB" w14:textId="554D1873" w:rsidR="00D53F40" w:rsidRPr="000C7CFF" w:rsidRDefault="00A253E1" w:rsidP="00FE6779">
      <w:bookmarkStart w:id="150" w:name="ep347291"/>
      <w:r>
        <w:t>g</w:t>
      </w:r>
      <w:r w:rsidR="000C7CFF">
        <w:t>.</w:t>
      </w:r>
      <w:r w:rsidR="000C7CFF">
        <w:tab/>
      </w:r>
      <w:r w:rsidR="00D53F40" w:rsidRPr="000C7CFF">
        <w:t>May be sent only to an addressee who has not made any payment for the cigarettes, is being paid a fee for participation in consumer tests and has agreed to evaluate the cigarettes and furnish feedback to the manufacturer in connection with the consumer test.</w:t>
      </w:r>
      <w:bookmarkEnd w:id="150"/>
    </w:p>
    <w:p w14:paraId="415C97FC" w14:textId="09AFDEB4" w:rsidR="00D53F40" w:rsidRDefault="00A253E1">
      <w:bookmarkStart w:id="151" w:name="ep347293"/>
      <w:r>
        <w:t>h</w:t>
      </w:r>
      <w:r w:rsidR="000C7CFF">
        <w:t>.</w:t>
      </w:r>
      <w:r w:rsidR="000C7CFF">
        <w:tab/>
      </w:r>
      <w:r w:rsidR="00D53F40" w:rsidRPr="000C7CFF">
        <w:t xml:space="preserve">May not exceed more than one package from any one manufacturer to an adult smoker during any 30-day period. </w:t>
      </w:r>
      <w:bookmarkEnd w:id="151"/>
    </w:p>
    <w:p w14:paraId="4A5758B3" w14:textId="2A12A5EF" w:rsidR="00A253E1" w:rsidRPr="00EB6927" w:rsidRDefault="00A253E1" w:rsidP="00A253E1">
      <w:r>
        <w:t>i.</w:t>
      </w:r>
      <w:r>
        <w:tab/>
        <w:t>Must b</w:t>
      </w:r>
      <w:r>
        <w:rPr>
          <w:rFonts w:cs="Arial"/>
        </w:rPr>
        <w:t xml:space="preserve">e </w:t>
      </w:r>
      <w:r w:rsidRPr="00D53F40">
        <w:rPr>
          <w:rFonts w:cs="Arial"/>
        </w:rPr>
        <w:t>enter</w:t>
      </w:r>
      <w:r>
        <w:rPr>
          <w:rFonts w:cs="Arial"/>
        </w:rPr>
        <w:t>ed</w:t>
      </w:r>
      <w:r w:rsidRPr="00D53F40">
        <w:rPr>
          <w:rFonts w:cs="Arial"/>
        </w:rPr>
        <w:t xml:space="preserve"> at </w:t>
      </w:r>
      <w:r>
        <w:rPr>
          <w:rFonts w:cs="Arial"/>
        </w:rPr>
        <w:t xml:space="preserve">a </w:t>
      </w:r>
      <w:r w:rsidRPr="00D53F40">
        <w:rPr>
          <w:rFonts w:cs="Arial"/>
        </w:rPr>
        <w:t>retail and/or business mail acceptance location specified in the application</w:t>
      </w:r>
      <w:r>
        <w:rPr>
          <w:rFonts w:cs="Arial"/>
        </w:rPr>
        <w:t xml:space="preserve"> and authorized by the PCSC</w:t>
      </w:r>
      <w:r w:rsidRPr="00D53F40">
        <w:rPr>
          <w:rFonts w:cs="Arial"/>
        </w:rPr>
        <w:t>.</w:t>
      </w:r>
    </w:p>
    <w:p w14:paraId="0A8F75EB" w14:textId="25BEC5F7" w:rsidR="00A253E1" w:rsidRPr="00D53F40" w:rsidRDefault="00A253E1" w:rsidP="00A253E1">
      <w:pPr>
        <w:rPr>
          <w:rFonts w:cs="Arial"/>
          <w:b/>
          <w:bCs/>
        </w:rPr>
      </w:pPr>
      <w:r w:rsidRPr="00D53F40">
        <w:rPr>
          <w:rFonts w:cs="Arial"/>
          <w:b/>
          <w:bCs/>
        </w:rPr>
        <w:t>473.</w:t>
      </w:r>
      <w:r>
        <w:rPr>
          <w:rFonts w:cs="Arial"/>
          <w:b/>
          <w:bCs/>
        </w:rPr>
        <w:t>53</w:t>
      </w:r>
      <w:r w:rsidRPr="00D53F40">
        <w:rPr>
          <w:rFonts w:cs="Arial"/>
          <w:b/>
          <w:bCs/>
        </w:rPr>
        <w:t xml:space="preserve"> Entry and Acceptance </w:t>
      </w:r>
    </w:p>
    <w:p w14:paraId="3CAB6C99" w14:textId="5E3A3900" w:rsidR="00A253E1" w:rsidRDefault="00A253E1" w:rsidP="00A253E1">
      <w:pPr>
        <w:rPr>
          <w:rFonts w:cs="Arial"/>
        </w:rPr>
      </w:pPr>
      <w:r w:rsidRPr="00D53F40">
        <w:rPr>
          <w:rFonts w:cs="Arial"/>
        </w:rPr>
        <w:t>Mailings under the</w:t>
      </w:r>
      <w:r>
        <w:rPr>
          <w:rFonts w:cs="Arial"/>
        </w:rPr>
        <w:t xml:space="preserve"> consumer testing </w:t>
      </w:r>
      <w:r w:rsidRPr="00D53F40">
        <w:rPr>
          <w:rFonts w:cs="Arial"/>
        </w:rPr>
        <w:t xml:space="preserve">exception must be entered under the following conditions: </w:t>
      </w:r>
    </w:p>
    <w:p w14:paraId="1771F437" w14:textId="26A4F6C4" w:rsidR="00A253E1" w:rsidRPr="00D33874" w:rsidRDefault="00A253E1" w:rsidP="00A253E1">
      <w:r>
        <w:t>a.</w:t>
      </w:r>
      <w:r>
        <w:tab/>
      </w:r>
      <w:r w:rsidRPr="00D33874">
        <w:t xml:space="preserve">Covered products must be tendered via a face-to-face transaction with a Postal Service employee. Applicable mailings may not be tendered through </w:t>
      </w:r>
      <w:r w:rsidR="009430D7">
        <w:t>any entry method prohibited under 473.1.e</w:t>
      </w:r>
      <w:r w:rsidRPr="00D33874">
        <w:t>.</w:t>
      </w:r>
    </w:p>
    <w:p w14:paraId="301A5ABF" w14:textId="7E2C0681" w:rsidR="00D142E8" w:rsidRDefault="00A253E1" w:rsidP="00D142E8">
      <w:r>
        <w:lastRenderedPageBreak/>
        <w:t>b.</w:t>
      </w:r>
      <w:r>
        <w:tab/>
        <w:t>The mailer must p</w:t>
      </w:r>
      <w:r w:rsidRPr="00D33874">
        <w:t xml:space="preserve">resent Postal Service acceptance personnel with a </w:t>
      </w:r>
      <w:r w:rsidR="00D142E8">
        <w:t xml:space="preserve">letter from the </w:t>
      </w:r>
      <w:r w:rsidRPr="00D33874">
        <w:t xml:space="preserve">PCSC </w:t>
      </w:r>
      <w:bookmarkStart w:id="152" w:name="_Hlk83809204"/>
      <w:r w:rsidRPr="00D33874">
        <w:t xml:space="preserve">showing that the PCSC has authorized the mailer </w:t>
      </w:r>
      <w:r w:rsidR="00764F59">
        <w:t>and acceptance location</w:t>
      </w:r>
      <w:r w:rsidR="00EA1DBE">
        <w:t>.</w:t>
      </w:r>
    </w:p>
    <w:bookmarkEnd w:id="152"/>
    <w:p w14:paraId="57253230" w14:textId="7142F2FF" w:rsidR="00D53F40" w:rsidRPr="00D53F40" w:rsidRDefault="00D53F40" w:rsidP="00D53F40">
      <w:pPr>
        <w:rPr>
          <w:rFonts w:cs="Arial"/>
          <w:b/>
          <w:bCs/>
        </w:rPr>
      </w:pPr>
      <w:r w:rsidRPr="00D53F40">
        <w:rPr>
          <w:rFonts w:cs="Arial"/>
          <w:b/>
          <w:bCs/>
        </w:rPr>
        <w:t>473.</w:t>
      </w:r>
      <w:bookmarkStart w:id="153" w:name="ep347333"/>
      <w:r w:rsidR="00124B01">
        <w:rPr>
          <w:rFonts w:cs="Arial"/>
          <w:b/>
          <w:bCs/>
        </w:rPr>
        <w:t>5</w:t>
      </w:r>
      <w:r w:rsidR="00A253E1">
        <w:rPr>
          <w:rFonts w:cs="Arial"/>
          <w:b/>
          <w:bCs/>
        </w:rPr>
        <w:t>4</w:t>
      </w:r>
      <w:r w:rsidRPr="00D53F40">
        <w:rPr>
          <w:rFonts w:cs="Arial"/>
          <w:b/>
          <w:bCs/>
        </w:rPr>
        <w:t xml:space="preserve"> Delivery </w:t>
      </w:r>
      <w:bookmarkEnd w:id="153"/>
    </w:p>
    <w:p w14:paraId="49032E3C" w14:textId="47095CAA" w:rsidR="00D53F40" w:rsidRPr="00D53F40" w:rsidRDefault="00D53F40" w:rsidP="00D53F40">
      <w:pPr>
        <w:rPr>
          <w:rFonts w:cs="Arial"/>
        </w:rPr>
      </w:pPr>
      <w:bookmarkStart w:id="154" w:name="ep347334"/>
      <w:r w:rsidRPr="00D53F40">
        <w:rPr>
          <w:rFonts w:cs="Arial"/>
        </w:rPr>
        <w:t xml:space="preserve">Mailings bearing the marking for consumer testing </w:t>
      </w:r>
      <w:r w:rsidR="001B4D73">
        <w:rPr>
          <w:rFonts w:cs="Arial"/>
        </w:rPr>
        <w:t xml:space="preserve">are eligible for delivery </w:t>
      </w:r>
      <w:r w:rsidRPr="00D53F40">
        <w:rPr>
          <w:rFonts w:cs="Arial"/>
        </w:rPr>
        <w:t xml:space="preserve">only to the named addressee under the following conditions: </w:t>
      </w:r>
      <w:bookmarkEnd w:id="154"/>
    </w:p>
    <w:p w14:paraId="1A1182A0" w14:textId="7E958ED1" w:rsidR="00D53F40" w:rsidRPr="00897B26" w:rsidRDefault="000C7CFF" w:rsidP="00FE6779">
      <w:r>
        <w:t>a.</w:t>
      </w:r>
      <w:r>
        <w:tab/>
      </w:r>
      <w:bookmarkStart w:id="155" w:name="ep360144"/>
      <w:r w:rsidR="00D53F40" w:rsidRPr="000C7CFF">
        <w:t xml:space="preserve">The recipient signing for the article must be an adult of </w:t>
      </w:r>
      <w:r w:rsidR="00D53F40" w:rsidRPr="00897B26">
        <w:t xml:space="preserve">at least 21 years of age. </w:t>
      </w:r>
      <w:bookmarkEnd w:id="155"/>
      <w:r w:rsidR="00D53F40" w:rsidRPr="00897B26">
        <w:t xml:space="preserve">The recipient’s age must be verified by a postal employee before releasing or delivering the item to the recipient. </w:t>
      </w:r>
      <w:bookmarkStart w:id="156" w:name="ep347336"/>
      <w:r w:rsidR="00D53F40" w:rsidRPr="00897B26">
        <w:t xml:space="preserve">The recipient must furnish proof of age via a driver’s license, passport, or other government-issued photo identification that lists age or date of birth. </w:t>
      </w:r>
      <w:bookmarkStart w:id="157" w:name="ep347337"/>
      <w:bookmarkEnd w:id="156"/>
      <w:r w:rsidR="00D53F40" w:rsidRPr="00897B26">
        <w:t>The name on the identification must match the name of the addressee on the Priority Mail Express or Priority Mail label.</w:t>
      </w:r>
      <w:bookmarkEnd w:id="157"/>
    </w:p>
    <w:p w14:paraId="2CCCEAE6" w14:textId="29CFEFE3" w:rsidR="00D53F40" w:rsidRPr="00E57932" w:rsidRDefault="000C7CFF" w:rsidP="00FE6779">
      <w:bookmarkStart w:id="158" w:name="ep347338"/>
      <w:r>
        <w:t>b.</w:t>
      </w:r>
      <w:r>
        <w:tab/>
      </w:r>
      <w:r w:rsidR="00D53F40" w:rsidRPr="000C7CFF">
        <w:t xml:space="preserve">Once the recipient’s age and identity are established, the recipient must sign </w:t>
      </w:r>
      <w:r w:rsidR="006423F0">
        <w:t xml:space="preserve">for receipt of delivery and </w:t>
      </w:r>
      <w:r w:rsidR="006423F0" w:rsidRPr="00D33874">
        <w:t>in the appropriate signature block</w:t>
      </w:r>
      <w:r w:rsidR="006423F0">
        <w:t xml:space="preserve"> of PS Form 3811</w:t>
      </w:r>
      <w:r w:rsidR="00D53F40" w:rsidRPr="000C7CFF">
        <w:t>.</w:t>
      </w:r>
      <w:bookmarkEnd w:id="158"/>
    </w:p>
    <w:p w14:paraId="4C5C4AED" w14:textId="4E9FA00A" w:rsidR="00D53F40" w:rsidRPr="00D53F40" w:rsidRDefault="00D53F40" w:rsidP="00D53F40">
      <w:pPr>
        <w:rPr>
          <w:rFonts w:cs="Arial"/>
          <w:b/>
          <w:bCs/>
        </w:rPr>
      </w:pPr>
      <w:r w:rsidRPr="00D53F40">
        <w:rPr>
          <w:rFonts w:cs="Arial"/>
          <w:b/>
          <w:bCs/>
        </w:rPr>
        <w:t>473.</w:t>
      </w:r>
      <w:bookmarkStart w:id="159" w:name="ep347339"/>
      <w:r w:rsidR="00124B01">
        <w:rPr>
          <w:rFonts w:cs="Arial"/>
          <w:b/>
          <w:bCs/>
        </w:rPr>
        <w:t>6</w:t>
      </w:r>
      <w:r w:rsidRPr="00D53F40">
        <w:rPr>
          <w:rFonts w:cs="Arial"/>
          <w:b/>
          <w:bCs/>
        </w:rPr>
        <w:t xml:space="preserve"> Public Health Exception </w:t>
      </w:r>
      <w:bookmarkEnd w:id="159"/>
    </w:p>
    <w:p w14:paraId="168B2CA8" w14:textId="34B88EC8" w:rsidR="000C7CFF" w:rsidRDefault="00D53F40" w:rsidP="00D53F40">
      <w:pPr>
        <w:rPr>
          <w:rFonts w:cs="Arial"/>
        </w:rPr>
      </w:pPr>
      <w:bookmarkStart w:id="160" w:name="ep347340"/>
      <w:r w:rsidRPr="00D53F40">
        <w:rPr>
          <w:rFonts w:cs="Arial"/>
        </w:rPr>
        <w:t xml:space="preserve">Federal government agencies involved in the consumer testing of tobacco products solely for public health purposes may mail cigarettes (this does not apply to smokeless tobacco or ENDS) under the mailing standards of </w:t>
      </w:r>
      <w:bookmarkEnd w:id="160"/>
      <w:r w:rsidRPr="00D53F40">
        <w:rPr>
          <w:rFonts w:cs="Arial"/>
        </w:rPr>
        <w:t>473.</w:t>
      </w:r>
      <w:r w:rsidR="00124B01">
        <w:rPr>
          <w:rFonts w:cs="Arial"/>
        </w:rPr>
        <w:t>5</w:t>
      </w:r>
      <w:r w:rsidRPr="00D53F40">
        <w:rPr>
          <w:rFonts w:cs="Arial"/>
        </w:rPr>
        <w:t xml:space="preserve">, except </w:t>
      </w:r>
      <w:r w:rsidR="0011172E">
        <w:rPr>
          <w:rFonts w:cs="Arial"/>
        </w:rPr>
        <w:t>as follows</w:t>
      </w:r>
      <w:r w:rsidR="000C7CFF">
        <w:rPr>
          <w:rFonts w:cs="Arial"/>
        </w:rPr>
        <w:t>:</w:t>
      </w:r>
    </w:p>
    <w:p w14:paraId="47336BFD" w14:textId="1B3AA797" w:rsidR="000C7CFF" w:rsidRDefault="000C7CFF" w:rsidP="00D53F40">
      <w:pPr>
        <w:rPr>
          <w:rFonts w:cs="Arial"/>
        </w:rPr>
      </w:pPr>
      <w:r>
        <w:rPr>
          <w:rFonts w:cs="Arial"/>
        </w:rPr>
        <w:t>a.</w:t>
      </w:r>
      <w:r>
        <w:rPr>
          <w:rFonts w:cs="Arial"/>
        </w:rPr>
        <w:tab/>
        <w:t xml:space="preserve">The federal agency is not required to </w:t>
      </w:r>
      <w:r w:rsidRPr="00D53F40">
        <w:rPr>
          <w:rFonts w:cs="Arial"/>
        </w:rPr>
        <w:t xml:space="preserve">have a </w:t>
      </w:r>
      <w:r>
        <w:rPr>
          <w:rFonts w:cs="Arial"/>
        </w:rPr>
        <w:t xml:space="preserve">manufacturer’s </w:t>
      </w:r>
      <w:r w:rsidRPr="00D53F40">
        <w:rPr>
          <w:rFonts w:cs="Arial"/>
        </w:rPr>
        <w:t>permit issued under 26 U.S.C. § 5713</w:t>
      </w:r>
      <w:r>
        <w:rPr>
          <w:rFonts w:cs="Arial"/>
        </w:rPr>
        <w:t>.</w:t>
      </w:r>
    </w:p>
    <w:p w14:paraId="2996ACD8" w14:textId="274A576A" w:rsidR="000C7CFF" w:rsidRDefault="000C7CFF" w:rsidP="00D53F40">
      <w:pPr>
        <w:rPr>
          <w:rFonts w:cs="Arial"/>
        </w:rPr>
      </w:pPr>
      <w:r>
        <w:rPr>
          <w:rFonts w:cs="Arial"/>
        </w:rPr>
        <w:lastRenderedPageBreak/>
        <w:t>b.</w:t>
      </w:r>
      <w:r>
        <w:rPr>
          <w:rFonts w:cs="Arial"/>
        </w:rPr>
        <w:tab/>
        <w:t>T</w:t>
      </w:r>
      <w:r w:rsidR="00D53F40" w:rsidRPr="00D53F40">
        <w:rPr>
          <w:rFonts w:cs="Arial"/>
        </w:rPr>
        <w:t xml:space="preserve">he recipient </w:t>
      </w:r>
      <w:r>
        <w:rPr>
          <w:rFonts w:cs="Arial"/>
        </w:rPr>
        <w:t xml:space="preserve">is not required to </w:t>
      </w:r>
      <w:r w:rsidR="00D53F40" w:rsidRPr="00D53F40">
        <w:rPr>
          <w:rFonts w:cs="Arial"/>
        </w:rPr>
        <w:t>be paid a fee for participation in consumer tests.</w:t>
      </w:r>
    </w:p>
    <w:p w14:paraId="0BB349FB" w14:textId="4AF8CE2C" w:rsidR="00D53F40" w:rsidRDefault="00897B26" w:rsidP="00D53F40">
      <w:pPr>
        <w:rPr>
          <w:rFonts w:cs="Arial"/>
        </w:rPr>
      </w:pPr>
      <w:r>
        <w:rPr>
          <w:rFonts w:cs="Arial"/>
        </w:rPr>
        <w:t>c.</w:t>
      </w:r>
      <w:r>
        <w:rPr>
          <w:rFonts w:cs="Arial"/>
        </w:rPr>
        <w:tab/>
      </w:r>
      <w:r w:rsidR="00D53F40" w:rsidRPr="00D53F40">
        <w:rPr>
          <w:rFonts w:cs="Arial"/>
        </w:rPr>
        <w:t>Upon written request, the Director, PCSC, may waive certain application requirements for mailings entered by the requesting federal agency. The Director, PCSC, may suspend, rescind, or modify any waiver at any time.</w:t>
      </w:r>
    </w:p>
    <w:p w14:paraId="3F27725F" w14:textId="6DB094A3" w:rsidR="00D562E7" w:rsidRPr="00D53F40" w:rsidRDefault="00D562E7" w:rsidP="00D562E7">
      <w:pPr>
        <w:rPr>
          <w:rFonts w:cs="Arial"/>
          <w:b/>
          <w:bCs/>
        </w:rPr>
      </w:pPr>
      <w:r w:rsidRPr="00D53F40">
        <w:rPr>
          <w:rFonts w:cs="Arial"/>
          <w:b/>
          <w:bCs/>
        </w:rPr>
        <w:t>473.</w:t>
      </w:r>
      <w:r>
        <w:rPr>
          <w:rFonts w:cs="Arial"/>
          <w:b/>
          <w:bCs/>
        </w:rPr>
        <w:t>7</w:t>
      </w:r>
      <w:r w:rsidRPr="00D53F40">
        <w:rPr>
          <w:rFonts w:cs="Arial"/>
          <w:b/>
          <w:bCs/>
        </w:rPr>
        <w:t xml:space="preserve"> Suspension or Revocation of Eligibility</w:t>
      </w:r>
    </w:p>
    <w:p w14:paraId="794DF7C6" w14:textId="4DC22A31" w:rsidR="00D562E7" w:rsidRDefault="00D562E7" w:rsidP="00D53F40">
      <w:pPr>
        <w:rPr>
          <w:rFonts w:cs="Arial"/>
        </w:rPr>
      </w:pPr>
      <w:r w:rsidRPr="00D53F40">
        <w:rPr>
          <w:rFonts w:cs="Arial"/>
        </w:rPr>
        <w:t xml:space="preserve">Eligibility to mail under </w:t>
      </w:r>
      <w:r w:rsidR="00CB1380">
        <w:rPr>
          <w:rFonts w:cs="Arial"/>
        </w:rPr>
        <w:t>one or more</w:t>
      </w:r>
      <w:r w:rsidRPr="00D53F40">
        <w:rPr>
          <w:rFonts w:cs="Arial"/>
        </w:rPr>
        <w:t xml:space="preserve"> exception</w:t>
      </w:r>
      <w:r w:rsidR="00CB1380">
        <w:rPr>
          <w:rFonts w:cs="Arial"/>
        </w:rPr>
        <w:t>s</w:t>
      </w:r>
      <w:r>
        <w:rPr>
          <w:rFonts w:cs="Arial"/>
        </w:rPr>
        <w:t xml:space="preserve"> in 473.2 through .6</w:t>
      </w:r>
      <w:r w:rsidRPr="00D53F40">
        <w:rPr>
          <w:rFonts w:cs="Arial"/>
        </w:rPr>
        <w:t xml:space="preserve"> may be suspended or revoked by the Director, PCSC, in the event of failure to comply with any applicable law or regulation. A customer may appeal an adverse initial decision to the Director, Product Classification (see 214 for address). The mailer bears the burden of proof in establishing eligibility in any appeal of a suspension or revocation decision and of furnishing all supporting documentation </w:t>
      </w:r>
      <w:r>
        <w:rPr>
          <w:rFonts w:cs="Arial"/>
        </w:rPr>
        <w:t xml:space="preserve">when </w:t>
      </w:r>
      <w:r w:rsidRPr="00D53F40">
        <w:rPr>
          <w:rFonts w:cs="Arial"/>
        </w:rPr>
        <w:t xml:space="preserve">requested. Decisions by the Director, Product Classification, to revoke a </w:t>
      </w:r>
      <w:proofErr w:type="gramStart"/>
      <w:r w:rsidRPr="00D53F40">
        <w:rPr>
          <w:rFonts w:cs="Arial"/>
        </w:rPr>
        <w:t>customer‘</w:t>
      </w:r>
      <w:proofErr w:type="gramEnd"/>
      <w:r w:rsidRPr="00D53F40">
        <w:rPr>
          <w:rFonts w:cs="Arial"/>
        </w:rPr>
        <w:t xml:space="preserve">s eligibility under </w:t>
      </w:r>
      <w:r w:rsidR="00CB1380">
        <w:rPr>
          <w:rFonts w:cs="Arial"/>
        </w:rPr>
        <w:t>any</w:t>
      </w:r>
      <w:r w:rsidRPr="00D53F40">
        <w:rPr>
          <w:rFonts w:cs="Arial"/>
        </w:rPr>
        <w:t xml:space="preserve"> exception may be appealed to the Judicial Officer under 39 CFR Part 953. </w:t>
      </w:r>
    </w:p>
    <w:p w14:paraId="4B9563C5" w14:textId="14D71701" w:rsidR="007B531D" w:rsidRPr="00D53F40" w:rsidRDefault="007B531D" w:rsidP="00D53F40">
      <w:pPr>
        <w:rPr>
          <w:rFonts w:cs="Arial"/>
        </w:rPr>
      </w:pPr>
      <w:r>
        <w:rPr>
          <w:rFonts w:cs="Arial"/>
        </w:rPr>
        <w:t>*</w:t>
      </w:r>
      <w:r>
        <w:rPr>
          <w:rFonts w:cs="Arial"/>
        </w:rPr>
        <w:tab/>
        <w:t>*</w:t>
      </w:r>
      <w:r>
        <w:rPr>
          <w:rFonts w:cs="Arial"/>
        </w:rPr>
        <w:tab/>
        <w:t>*</w:t>
      </w:r>
      <w:r>
        <w:rPr>
          <w:rFonts w:cs="Arial"/>
        </w:rPr>
        <w:tab/>
        <w:t>*</w:t>
      </w:r>
      <w:r>
        <w:rPr>
          <w:rFonts w:cs="Arial"/>
        </w:rPr>
        <w:tab/>
        <w:t>*</w:t>
      </w:r>
    </w:p>
    <w:p w14:paraId="78B15DA8" w14:textId="3E04E3FC" w:rsidR="00D53F40" w:rsidRPr="00D53F40" w:rsidRDefault="00D53F40" w:rsidP="00D53F40">
      <w:pPr>
        <w:rPr>
          <w:rFonts w:cs="Arial"/>
          <w:b/>
        </w:rPr>
      </w:pPr>
      <w:r w:rsidRPr="00D53F40">
        <w:rPr>
          <w:rFonts w:cs="Arial"/>
          <w:b/>
        </w:rPr>
        <w:t xml:space="preserve">474 Additional </w:t>
      </w:r>
      <w:r w:rsidR="0011172E">
        <w:rPr>
          <w:rFonts w:cs="Arial"/>
          <w:b/>
        </w:rPr>
        <w:t xml:space="preserve">Guidance </w:t>
      </w:r>
    </w:p>
    <w:p w14:paraId="4762F688" w14:textId="77777777" w:rsidR="00D53F40" w:rsidRPr="00D53F40" w:rsidRDefault="00D53F40" w:rsidP="00D53F40">
      <w:pPr>
        <w:rPr>
          <w:rFonts w:cs="Arial"/>
          <w:b/>
          <w:bCs/>
        </w:rPr>
      </w:pPr>
      <w:r w:rsidRPr="00D53F40">
        <w:rPr>
          <w:rFonts w:cs="Arial"/>
          <w:b/>
          <w:bCs/>
        </w:rPr>
        <w:t>474.1 Interpretative Guidance</w:t>
      </w:r>
    </w:p>
    <w:p w14:paraId="3A98AD07" w14:textId="18BF3960" w:rsidR="00D53F40" w:rsidRPr="00D53F40" w:rsidRDefault="00D53F40" w:rsidP="00D53F40">
      <w:pPr>
        <w:rPr>
          <w:rFonts w:cs="Arial"/>
        </w:rPr>
      </w:pPr>
      <w:r w:rsidRPr="00D53F40">
        <w:rPr>
          <w:rFonts w:cs="Arial"/>
        </w:rPr>
        <w:t>The definition</w:t>
      </w:r>
      <w:r w:rsidR="00AF6223">
        <w:rPr>
          <w:rFonts w:cs="Arial"/>
        </w:rPr>
        <w:t>s</w:t>
      </w:r>
      <w:r w:rsidRPr="00D53F40">
        <w:rPr>
          <w:rFonts w:cs="Arial"/>
        </w:rPr>
        <w:t xml:space="preserve"> in 471.</w:t>
      </w:r>
      <w:r w:rsidR="00AF6223">
        <w:rPr>
          <w:rFonts w:cs="Arial"/>
        </w:rPr>
        <w:t xml:space="preserve">1 through. </w:t>
      </w:r>
      <w:r w:rsidRPr="00D53F40">
        <w:rPr>
          <w:rFonts w:cs="Arial"/>
        </w:rPr>
        <w:t>5 and the exclusion in 474.2 are pursuant to section 1 of the Jenkins Act (15 U.S.C. § 375), which is administered by the Bureau of Alcohol, Tobacco, Firearms, and Explosives (ATF). Interpretative guidance</w:t>
      </w:r>
      <w:r w:rsidR="00AF6223">
        <w:rPr>
          <w:rFonts w:cs="Arial"/>
        </w:rPr>
        <w:t xml:space="preserve"> regarding these provisions</w:t>
      </w:r>
      <w:r w:rsidRPr="00D53F40">
        <w:rPr>
          <w:rFonts w:cs="Arial"/>
        </w:rPr>
        <w:t xml:space="preserve"> may be requested by contacting ATF at the </w:t>
      </w:r>
      <w:r w:rsidRPr="00D53F40">
        <w:rPr>
          <w:rFonts w:cs="Arial"/>
        </w:rPr>
        <w:lastRenderedPageBreak/>
        <w:t>following address, with a copy to the Pricing and Classification Service Center (PCSC) (see 213 for address):</w:t>
      </w:r>
    </w:p>
    <w:p w14:paraId="0E32B56B" w14:textId="77777777" w:rsidR="00D53F40" w:rsidRPr="00D53F40" w:rsidRDefault="00D53F40" w:rsidP="00D873A3">
      <w:pPr>
        <w:ind w:left="720"/>
        <w:rPr>
          <w:rFonts w:cs="Arial"/>
        </w:rPr>
      </w:pPr>
      <w:r w:rsidRPr="00D53F40">
        <w:rPr>
          <w:rFonts w:cs="Arial"/>
        </w:rPr>
        <w:t>Bureau of Alcohol, Tobacco, Firearms and Explosives</w:t>
      </w:r>
    </w:p>
    <w:p w14:paraId="4A669579" w14:textId="77777777" w:rsidR="00D53F40" w:rsidRPr="00D53F40" w:rsidRDefault="00D53F40" w:rsidP="00D873A3">
      <w:pPr>
        <w:ind w:left="720"/>
        <w:rPr>
          <w:rFonts w:cs="Arial"/>
        </w:rPr>
      </w:pPr>
      <w:r w:rsidRPr="00D53F40">
        <w:rPr>
          <w:rFonts w:cs="Arial"/>
        </w:rPr>
        <w:t>99 New York Avenue NE</w:t>
      </w:r>
    </w:p>
    <w:p w14:paraId="5C81275C" w14:textId="77777777" w:rsidR="00D53F40" w:rsidRPr="00D53F40" w:rsidRDefault="00D53F40" w:rsidP="00D873A3">
      <w:pPr>
        <w:ind w:left="720"/>
        <w:rPr>
          <w:rFonts w:cs="Arial"/>
        </w:rPr>
      </w:pPr>
      <w:r w:rsidRPr="00D53F40">
        <w:rPr>
          <w:rFonts w:cs="Arial"/>
        </w:rPr>
        <w:t>c/o 90 K St. NE, Ste. 250</w:t>
      </w:r>
    </w:p>
    <w:p w14:paraId="61CFDD8B" w14:textId="4EBD6234" w:rsidR="00D53F40" w:rsidRPr="00D53F40" w:rsidRDefault="00D53F40" w:rsidP="00D873A3">
      <w:pPr>
        <w:ind w:left="720"/>
        <w:rPr>
          <w:rFonts w:cs="Arial"/>
        </w:rPr>
      </w:pPr>
      <w:r w:rsidRPr="00D53F40">
        <w:rPr>
          <w:rFonts w:cs="Arial"/>
        </w:rPr>
        <w:t>Washington, DC 20226</w:t>
      </w:r>
    </w:p>
    <w:p w14:paraId="7E7317A0" w14:textId="1C20D1C7" w:rsidR="00D53F40" w:rsidRPr="00D53F40" w:rsidRDefault="00D53F40" w:rsidP="00D53F40">
      <w:pPr>
        <w:rPr>
          <w:rFonts w:cs="Arial"/>
          <w:b/>
          <w:bCs/>
        </w:rPr>
      </w:pPr>
      <w:r w:rsidRPr="00D53F40">
        <w:rPr>
          <w:rFonts w:cs="Arial"/>
          <w:b/>
          <w:bCs/>
        </w:rPr>
        <w:t xml:space="preserve">474.2 Exclusion of </w:t>
      </w:r>
      <w:r w:rsidR="00F47904">
        <w:rPr>
          <w:rFonts w:cs="Arial"/>
          <w:b/>
          <w:bCs/>
        </w:rPr>
        <w:t xml:space="preserve">Products </w:t>
      </w:r>
      <w:r w:rsidRPr="00D53F40">
        <w:rPr>
          <w:rFonts w:cs="Arial"/>
          <w:b/>
          <w:bCs/>
        </w:rPr>
        <w:t xml:space="preserve">Approved </w:t>
      </w:r>
      <w:r w:rsidR="00F47904">
        <w:rPr>
          <w:rFonts w:cs="Arial"/>
          <w:b/>
          <w:bCs/>
        </w:rPr>
        <w:t xml:space="preserve">for </w:t>
      </w:r>
      <w:r w:rsidRPr="00D53F40">
        <w:rPr>
          <w:rFonts w:cs="Arial"/>
          <w:b/>
          <w:bCs/>
        </w:rPr>
        <w:t xml:space="preserve">Tobacco Cessation or Therapeutic </w:t>
      </w:r>
      <w:r w:rsidR="00F47904">
        <w:rPr>
          <w:rFonts w:cs="Arial"/>
          <w:b/>
          <w:bCs/>
        </w:rPr>
        <w:t>Purposes</w:t>
      </w:r>
    </w:p>
    <w:p w14:paraId="7C1B80AA" w14:textId="605271BC" w:rsidR="00D873A3" w:rsidRDefault="00D53F40" w:rsidP="00D53F40">
      <w:pPr>
        <w:rPr>
          <w:rFonts w:cs="Arial"/>
        </w:rPr>
      </w:pPr>
      <w:r w:rsidRPr="00D53F40">
        <w:rPr>
          <w:rFonts w:cs="Arial"/>
        </w:rPr>
        <w:t xml:space="preserve">A product is excluded from the definition of ENDS </w:t>
      </w:r>
      <w:r w:rsidR="0011172E">
        <w:rPr>
          <w:rFonts w:cs="Arial"/>
        </w:rPr>
        <w:t xml:space="preserve">in 471.5 </w:t>
      </w:r>
      <w:r w:rsidRPr="00D53F40">
        <w:rPr>
          <w:rFonts w:cs="Arial"/>
        </w:rPr>
        <w:t>(15 U.S.C. § 375(7)(C)) if:</w:t>
      </w:r>
    </w:p>
    <w:p w14:paraId="1B7AB909" w14:textId="423E072C" w:rsidR="007B531D" w:rsidRDefault="00897B26" w:rsidP="00FE6779">
      <w:r>
        <w:t>a.</w:t>
      </w:r>
      <w:r>
        <w:tab/>
      </w:r>
      <w:r w:rsidR="00D53F40" w:rsidRPr="007B531D">
        <w:t>It is approved by the Food and Drug Administration for sale as a tobacco cessation product or any other therapeutic purpose</w:t>
      </w:r>
      <w:r w:rsidR="007B531D">
        <w:t>;</w:t>
      </w:r>
      <w:r w:rsidR="00D53F40" w:rsidRPr="007B531D">
        <w:t xml:space="preserve"> and</w:t>
      </w:r>
    </w:p>
    <w:p w14:paraId="1107278C" w14:textId="12C72A97" w:rsidR="00D53F40" w:rsidRPr="007B531D" w:rsidRDefault="00897B26" w:rsidP="00FE6779">
      <w:r>
        <w:t>b.</w:t>
      </w:r>
      <w:r>
        <w:tab/>
      </w:r>
      <w:r w:rsidR="00D53F40" w:rsidRPr="007B531D">
        <w:t xml:space="preserve">Is marketed and sold solely for such purposes. </w:t>
      </w:r>
    </w:p>
    <w:p w14:paraId="365E5421" w14:textId="77777777" w:rsidR="00A9740C" w:rsidRDefault="00D53F40" w:rsidP="00C82398">
      <w:pPr>
        <w:rPr>
          <w:rFonts w:cs="Arial"/>
        </w:rPr>
      </w:pPr>
      <w:r w:rsidRPr="00D53F40">
        <w:rPr>
          <w:rFonts w:cs="Arial"/>
        </w:rPr>
        <w:t xml:space="preserve">Any party who believes that a product to be sent through the mails qualifies for this exclusion should provide appropriate documentation to ATF at the address in 474.1, with a copy to the PCSC. </w:t>
      </w:r>
    </w:p>
    <w:p w14:paraId="77FEEF34" w14:textId="3670BB6E" w:rsidR="00A9740C" w:rsidRPr="00D873A3" w:rsidRDefault="00A9740C" w:rsidP="00EB6927">
      <w:pPr>
        <w:rPr>
          <w:rFonts w:cs="Arial"/>
        </w:rPr>
      </w:pPr>
    </w:p>
    <w:sectPr w:rsidR="00A9740C" w:rsidRPr="00D873A3" w:rsidSect="00C8239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04A4A" w14:textId="77777777" w:rsidR="003C4794" w:rsidRDefault="003C4794">
      <w:r>
        <w:separator/>
      </w:r>
    </w:p>
  </w:endnote>
  <w:endnote w:type="continuationSeparator" w:id="0">
    <w:p w14:paraId="458E09C2" w14:textId="77777777" w:rsidR="003C4794" w:rsidRDefault="003C4794">
      <w:r>
        <w:continuationSeparator/>
      </w:r>
    </w:p>
  </w:endnote>
  <w:endnote w:type="continuationNotice" w:id="1">
    <w:p w14:paraId="6115D2A6" w14:textId="77777777" w:rsidR="003C4794" w:rsidRDefault="003C47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F4B6C" w14:textId="77777777" w:rsidR="003C4794" w:rsidRDefault="003C4794" w:rsidP="003F2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ED3317" w14:textId="77777777" w:rsidR="003C4794" w:rsidRDefault="003C4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598F" w14:textId="77777777" w:rsidR="003C4794" w:rsidRDefault="003C4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A8C93" w14:textId="77777777" w:rsidR="003C4794" w:rsidRDefault="003C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EE033" w14:textId="77777777" w:rsidR="003C4794" w:rsidRDefault="003C4794">
      <w:r>
        <w:separator/>
      </w:r>
    </w:p>
  </w:footnote>
  <w:footnote w:type="continuationSeparator" w:id="0">
    <w:p w14:paraId="1A9D1FF0" w14:textId="77777777" w:rsidR="003C4794" w:rsidRDefault="003C4794">
      <w:r>
        <w:continuationSeparator/>
      </w:r>
    </w:p>
  </w:footnote>
  <w:footnote w:type="continuationNotice" w:id="1">
    <w:p w14:paraId="3B7172F1" w14:textId="77777777" w:rsidR="003C4794" w:rsidRDefault="003C4794">
      <w:pPr>
        <w:spacing w:line="240" w:lineRule="auto"/>
      </w:pPr>
    </w:p>
  </w:footnote>
  <w:footnote w:id="2">
    <w:p w14:paraId="372FB384" w14:textId="6F265B8B" w:rsidR="003C4794" w:rsidRDefault="003C4794" w:rsidP="00A87398">
      <w:pPr>
        <w:pStyle w:val="FootnoteText"/>
      </w:pPr>
      <w:r>
        <w:rPr>
          <w:rStyle w:val="FootnoteReference"/>
        </w:rPr>
        <w:footnoteRef/>
      </w:r>
      <w:r>
        <w:t xml:space="preserve"> These last two sets of arguments, typically expressed by ENDS consumers, are in tension with one another: one holds that youth do not tend to get ENDS products through the mails, the other that youth will continue to access ENDS products through the mails regardless.</w:t>
      </w:r>
    </w:p>
  </w:footnote>
  <w:footnote w:id="3">
    <w:p w14:paraId="616500DE" w14:textId="17FCBCBD" w:rsidR="003C4794" w:rsidRPr="00C5306A" w:rsidRDefault="003C4794" w:rsidP="00A87398">
      <w:pPr>
        <w:pStyle w:val="FootnoteText"/>
      </w:pPr>
      <w:r>
        <w:rPr>
          <w:rStyle w:val="FootnoteReference"/>
        </w:rPr>
        <w:footnoteRef/>
      </w:r>
      <w:r>
        <w:t xml:space="preserve"> Some ENDS consumers expressed outrage that ENDS products should be nonmailable while alcohol, cigarettes, firearms, gun parts, lettuce, marijuana, and other controlled substances supposedly remain mailable. In fact, each of these types of items is nonmailable in at least some—and, in some cases, most or all—circumstances. </w:t>
      </w:r>
      <w:r w:rsidRPr="00AF27CF">
        <w:t>See</w:t>
      </w:r>
      <w:r>
        <w:t xml:space="preserve"> Publication 52 subchapters 42, 43, 47, 53 &amp; part 453.</w:t>
      </w:r>
    </w:p>
  </w:footnote>
  <w:footnote w:id="4">
    <w:p w14:paraId="2B341B2D" w14:textId="6AC6F842" w:rsidR="003C4794" w:rsidRDefault="003C4794" w:rsidP="00A87398">
      <w:pPr>
        <w:pStyle w:val="FootnoteText"/>
      </w:pPr>
      <w:r>
        <w:rPr>
          <w:rStyle w:val="FootnoteReference"/>
        </w:rPr>
        <w:footnoteRef/>
      </w:r>
      <w:r>
        <w:t xml:space="preserve"> One public-health-oriented commenter opined that PACT Act exceptions should be disallowed for ENDS products because they may contain hazardous materials and yet be transported by air, including in intrastate shipments pursuant to 18 U.S.C. 1716E(b)(2). But many hazardous materials are not categorically barred from air transportation; rather, they can be transported by air transportation so long as they are properly prepared and labeled and/or are packaged in limited quantities. </w:t>
      </w:r>
      <w:r w:rsidRPr="00AF27CF">
        <w:t>See</w:t>
      </w:r>
      <w:r>
        <w:t xml:space="preserve"> Publication 52 parts 327, 331–337, 343, 346, 349. To the extent that these restrictions are not observed, then—as was the case prior to this final rule—an ENDS shipment is nonmailable under the hazardous-materials rules regardless of the PACT Act.</w:t>
      </w:r>
    </w:p>
  </w:footnote>
  <w:footnote w:id="5">
    <w:p w14:paraId="7C2C9B4A" w14:textId="4A9EF9B1" w:rsidR="003C4794" w:rsidRDefault="003C4794" w:rsidP="00A87398">
      <w:pPr>
        <w:pStyle w:val="FootnoteText"/>
      </w:pPr>
      <w:r>
        <w:rPr>
          <w:rStyle w:val="FootnoteReference"/>
        </w:rPr>
        <w:footnoteRef/>
      </w:r>
      <w:r>
        <w:t xml:space="preserve"> As noted in the April 2021 Guidance, advertisements and promotional or sales matter regarding controlled substances and certain hazardous materials are generally also nonmailable. 18 U.S.C. 1716(h); </w:t>
      </w:r>
      <w:r w:rsidRPr="004A0372">
        <w:t xml:space="preserve">21 U.S.C. 843(b), (c)(1); </w:t>
      </w:r>
      <w:r>
        <w:t xml:space="preserve">DMM </w:t>
      </w:r>
      <w:r w:rsidRPr="004A0372">
        <w:t>section 601.9.4.1</w:t>
      </w:r>
      <w:r>
        <w:t>; 86 FR at 20289</w:t>
      </w:r>
      <w:r w:rsidRPr="004A0372">
        <w:t>.</w:t>
      </w:r>
    </w:p>
  </w:footnote>
  <w:footnote w:id="6">
    <w:p w14:paraId="4FD74954" w14:textId="517E089D" w:rsidR="003C4794" w:rsidRDefault="003C4794" w:rsidP="00A87398">
      <w:pPr>
        <w:pStyle w:val="FootnoteText"/>
      </w:pPr>
      <w:r>
        <w:rPr>
          <w:rStyle w:val="FootnoteReference"/>
        </w:rPr>
        <w:footnoteRef/>
      </w:r>
      <w:r>
        <w:t xml:space="preserve"> Of course, it is possible for multiple Federal authorities to apply concurrently. FDA authorization of a cigarette for introduction or delivery into interstate commerce does not absolve an actor from other Federal requirements that govern the manufacture and distribution of cigarettes and other covered products: rather, all overlapping requirements must be complied with in order to offer the product in interstate commerce.</w:t>
      </w:r>
    </w:p>
  </w:footnote>
  <w:footnote w:id="7">
    <w:p w14:paraId="489A1964" w14:textId="616373E8" w:rsidR="003C4794" w:rsidRPr="006B1F15" w:rsidRDefault="003C4794" w:rsidP="00A87398">
      <w:pPr>
        <w:pStyle w:val="FootnoteText"/>
      </w:pPr>
      <w:r>
        <w:rPr>
          <w:rStyle w:val="FootnoteReference"/>
        </w:rPr>
        <w:footnoteRef/>
      </w:r>
      <w:r>
        <w:t xml:space="preserve"> The </w:t>
      </w:r>
      <w:r>
        <w:rPr>
          <w:i/>
          <w:iCs/>
        </w:rPr>
        <w:t>Kuzma</w:t>
      </w:r>
      <w:r>
        <w:t xml:space="preserve"> court noted that the Paperwork Reduction Act was passed ten years after the enactment of 39 U.S.C. 410(a); that the Paperwork Reduction Act does not mention the Postal Service or otherwise expressly indicate Congressional intent that it apply to the Postal Service; and that repeals by implication are disfavored. </w:t>
      </w:r>
      <w:r>
        <w:rPr>
          <w:i/>
          <w:iCs/>
        </w:rPr>
        <w:t>Kuzma</w:t>
      </w:r>
      <w:r>
        <w:t xml:space="preserve">, 798 F.2d at 32. The same can be said of the RFA, which was likewise passed ten years after 39 U.S.C. 410(a), </w:t>
      </w:r>
      <w:r w:rsidRPr="00AF27CF">
        <w:t>see</w:t>
      </w:r>
      <w:r>
        <w:t xml:space="preserve"> Pub. L. 96–354 (1980), and does not expressly indicate intent to apply to the Postal Service.</w:t>
      </w:r>
    </w:p>
  </w:footnote>
  <w:footnote w:id="8">
    <w:p w14:paraId="6601B6C1" w14:textId="7A8FC147" w:rsidR="003C4794" w:rsidRPr="001E2089" w:rsidRDefault="003C4794" w:rsidP="00A87398">
      <w:pPr>
        <w:pStyle w:val="FootnoteText"/>
      </w:pPr>
      <w:r>
        <w:rPr>
          <w:rStyle w:val="FootnoteReference"/>
        </w:rPr>
        <w:footnoteRef/>
      </w:r>
      <w:r>
        <w:t xml:space="preserve"> The </w:t>
      </w:r>
      <w:r>
        <w:rPr>
          <w:i/>
          <w:iCs/>
        </w:rPr>
        <w:t>Shane</w:t>
      </w:r>
      <w:r>
        <w:t xml:space="preserve"> court noted that the Postal Service’s businesslike economic operations and financial self-sufficiency framework, in contradistinction to typical Federal bureaucracies, give it inherent incentives to minimize paperwork for customers. </w:t>
      </w:r>
      <w:r>
        <w:rPr>
          <w:i/>
          <w:iCs/>
        </w:rPr>
        <w:t>Shane</w:t>
      </w:r>
      <w:r>
        <w:t xml:space="preserve">, 658 F. Supp. at 915. The same is true with respect to the policy motives for the RFA. Unlike most Federal agencies, the Postal Service is supported almost entirely by revenues, not appropriations. See generally 39 U.S.C. 2401. As such, the Postal Service has inherent business incentives to minimize burdens for small-business customers and to encourage their patronage, to the extent permitted by law. The Postal Service is highly mindful of the </w:t>
      </w:r>
      <w:r>
        <w:t xml:space="preserve">particular needs of small businesses and has designed various services and outreach tools especially with such customers in mind. </w:t>
      </w:r>
      <w:r w:rsidRPr="00AF27CF">
        <w:t>See, e.g.</w:t>
      </w:r>
      <w:r>
        <w:t xml:space="preserve">, U.S. Postal Service, Small Business Solutions, </w:t>
      </w:r>
      <w:hyperlink r:id="rId1" w:history="1">
        <w:r w:rsidRPr="004A61A2">
          <w:rPr>
            <w:rStyle w:val="Hyperlink"/>
          </w:rPr>
          <w:t>https://www.usps.com/smallbusiness</w:t>
        </w:r>
      </w:hyperlink>
      <w:r>
        <w:t xml:space="preserve"> </w:t>
      </w:r>
      <w:r w:rsidRPr="00123102">
        <w:t>(</w:t>
      </w:r>
      <w:r w:rsidRPr="003C4794">
        <w:t xml:space="preserve">last visited </w:t>
      </w:r>
      <w:r>
        <w:t>Oct. 14</w:t>
      </w:r>
      <w:r w:rsidRPr="003C4794">
        <w:t>, 2021</w:t>
      </w:r>
      <w:r w:rsidRPr="00123102">
        <w:t>).</w:t>
      </w:r>
    </w:p>
  </w:footnote>
  <w:footnote w:id="9">
    <w:p w14:paraId="5D974C45" w14:textId="3622D3FE" w:rsidR="003C4794" w:rsidRPr="0087256C" w:rsidRDefault="003C4794" w:rsidP="00A87398">
      <w:pPr>
        <w:pStyle w:val="FootnoteText"/>
      </w:pPr>
      <w:r>
        <w:rPr>
          <w:rStyle w:val="FootnoteReference"/>
        </w:rPr>
        <w:footnoteRef/>
      </w:r>
      <w:r>
        <w:t xml:space="preserve"> </w:t>
      </w:r>
      <w:r w:rsidRPr="00AF27CF">
        <w:t>E.g.</w:t>
      </w:r>
      <w:r>
        <w:t>, Jen Bernstein, “</w:t>
      </w:r>
      <w:r w:rsidRPr="00AF27CF">
        <w:t>The Best Vape Pens: High Times’ Vape Pen Buyers’ Guide</w:t>
      </w:r>
      <w:r>
        <w:t xml:space="preserve">,” </w:t>
      </w:r>
      <w:r w:rsidRPr="00775AB3">
        <w:rPr>
          <w:i/>
          <w:iCs/>
        </w:rPr>
        <w:t>High Times</w:t>
      </w:r>
      <w:r>
        <w:t xml:space="preserve">, </w:t>
      </w:r>
      <w:hyperlink r:id="rId2" w:history="1">
        <w:r w:rsidRPr="00CA21D1">
          <w:rPr>
            <w:rStyle w:val="Hyperlink"/>
          </w:rPr>
          <w:t>https://hightimes.com/products/high-times-2015-vape-pen-buyers-guide</w:t>
        </w:r>
      </w:hyperlink>
      <w:r>
        <w:rPr>
          <w:rStyle w:val="Hyperlink"/>
        </w:rPr>
        <w:t xml:space="preserve"> </w:t>
      </w:r>
      <w:r>
        <w:t>(</w:t>
      </w:r>
      <w:r w:rsidRPr="00C714C4">
        <w:t xml:space="preserve">last visited </w:t>
      </w:r>
      <w:r>
        <w:t>Oct. 14</w:t>
      </w:r>
      <w:r w:rsidRPr="00C714C4">
        <w:t>, 2021</w:t>
      </w:r>
      <w:r>
        <w:t xml:space="preserve">); “Marijuana Vaporizers &amp; Vapes,” </w:t>
      </w:r>
      <w:r w:rsidRPr="00775AB3">
        <w:rPr>
          <w:i/>
          <w:iCs/>
        </w:rPr>
        <w:t>Leafly</w:t>
      </w:r>
      <w:r>
        <w:t xml:space="preserve">, </w:t>
      </w:r>
      <w:hyperlink r:id="rId3" w:history="1">
        <w:r w:rsidRPr="00CA21D1">
          <w:rPr>
            <w:rStyle w:val="Hyperlink"/>
          </w:rPr>
          <w:t>https://www.leafly.com/products/vaping</w:t>
        </w:r>
      </w:hyperlink>
      <w:r>
        <w:t xml:space="preserve"> (</w:t>
      </w:r>
      <w:r w:rsidRPr="003C4794">
        <w:t xml:space="preserve">last visited </w:t>
      </w:r>
      <w:r>
        <w:t>Oct. 14</w:t>
      </w:r>
      <w:r w:rsidRPr="003C4794">
        <w:t>, 2021</w:t>
      </w:r>
      <w:r>
        <w:t xml:space="preserve">) (vape pens, portable vaporizers, batteries, power supplies, and accessories); “Sherlock Vape Pipe,” </w:t>
      </w:r>
      <w:r w:rsidRPr="00775AB3">
        <w:rPr>
          <w:i/>
          <w:iCs/>
        </w:rPr>
        <w:t>WeedGadgets.com</w:t>
      </w:r>
      <w:r>
        <w:t xml:space="preserve">, </w:t>
      </w:r>
      <w:hyperlink r:id="rId4" w:history="1">
        <w:r w:rsidRPr="00CA21D1">
          <w:rPr>
            <w:rStyle w:val="Hyperlink"/>
          </w:rPr>
          <w:t>https://www.weedgadgets.com/sherlock-vape-pipe</w:t>
        </w:r>
      </w:hyperlink>
      <w:r>
        <w:t xml:space="preserve"> (</w:t>
      </w:r>
      <w:r w:rsidRPr="00C714C4">
        <w:t xml:space="preserve">last visited </w:t>
      </w:r>
      <w:r>
        <w:t>Oct. 14</w:t>
      </w:r>
      <w:r w:rsidRPr="00C714C4">
        <w:t>, 2021</w:t>
      </w:r>
      <w:r>
        <w:t>)</w:t>
      </w:r>
      <w:r w:rsidDel="00123102">
        <w:t xml:space="preserve"> </w:t>
      </w:r>
      <w:r>
        <w:t xml:space="preserve">(e-pipe); </w:t>
      </w:r>
      <w:r w:rsidRPr="00AF27CF">
        <w:t>see also</w:t>
      </w:r>
      <w:r>
        <w:t xml:space="preserve"> “Cannabis E-Cigarettes: Risks vs. Advantages,” </w:t>
      </w:r>
      <w:r w:rsidRPr="00775AB3">
        <w:rPr>
          <w:i/>
          <w:iCs/>
        </w:rPr>
        <w:t xml:space="preserve">Way of Leaf </w:t>
      </w:r>
      <w:r w:rsidRPr="00123102">
        <w:t>(</w:t>
      </w:r>
      <w:r w:rsidRPr="003C4794">
        <w:t>last updated Mar. 17, 2021</w:t>
      </w:r>
      <w:r w:rsidRPr="00123102">
        <w:t>)</w:t>
      </w:r>
      <w:r>
        <w:t xml:space="preserve"> (“An e-cigarette, also known as a vaporizer or a vape pen, is an electronic device that heats up your marijuana and enables you to consume it in vapor form.”).</w:t>
      </w:r>
    </w:p>
  </w:footnote>
  <w:footnote w:id="10">
    <w:p w14:paraId="6D025488" w14:textId="70E6F80A" w:rsidR="003C4794" w:rsidRDefault="003C4794" w:rsidP="00A87398">
      <w:pPr>
        <w:pStyle w:val="FootnoteText"/>
      </w:pPr>
      <w:r>
        <w:rPr>
          <w:rStyle w:val="FootnoteReference"/>
        </w:rPr>
        <w:footnoteRef/>
      </w:r>
      <w:r>
        <w:t xml:space="preserve"> </w:t>
      </w:r>
      <w:r w:rsidRPr="00AF27CF">
        <w:t>See, e.g.</w:t>
      </w:r>
      <w:r>
        <w:t xml:space="preserve">, Solution, </w:t>
      </w:r>
      <w:r w:rsidRPr="00AF27CF">
        <w:t xml:space="preserve">in </w:t>
      </w:r>
      <w:r>
        <w:t xml:space="preserve">Int’l Union of Pure &amp; Applied Chemistry, </w:t>
      </w:r>
      <w:r w:rsidRPr="0022072C">
        <w:t>Compendium of Chemical Terminology</w:t>
      </w:r>
      <w:r>
        <w:t xml:space="preserve"> (2d ed. 1997), </w:t>
      </w:r>
      <w:hyperlink r:id="rId5" w:history="1">
        <w:r w:rsidRPr="006042ED">
          <w:rPr>
            <w:rStyle w:val="Hyperlink"/>
            <w:rFonts w:cs="Arial"/>
          </w:rPr>
          <w:t>https://goldbook.iupac.org/terms/view/S05746</w:t>
        </w:r>
      </w:hyperlink>
      <w:r>
        <w:t xml:space="preserve"> </w:t>
      </w:r>
      <w:r w:rsidRPr="00123102">
        <w:t>(</w:t>
      </w:r>
      <w:r w:rsidRPr="003C4794">
        <w:t>last edited Feb. 24, 2014</w:t>
      </w:r>
      <w:r w:rsidRPr="00123102">
        <w:t xml:space="preserve">); Solution (chemistry), </w:t>
      </w:r>
      <w:r w:rsidRPr="00123102">
        <w:t xml:space="preserve">Brittanica, </w:t>
      </w:r>
      <w:hyperlink r:id="rId6" w:history="1">
        <w:r w:rsidRPr="00123102">
          <w:rPr>
            <w:rStyle w:val="Hyperlink"/>
            <w:rFonts w:cs="Arial"/>
          </w:rPr>
          <w:t>https://www.britannica.com/science/solution-chemistry</w:t>
        </w:r>
      </w:hyperlink>
      <w:r w:rsidRPr="00123102">
        <w:t xml:space="preserve"> (</w:t>
      </w:r>
      <w:r w:rsidRPr="003C4794">
        <w:t>last edited Dec. 19, 2019</w:t>
      </w:r>
      <w:r w:rsidRPr="00123102">
        <w:t>);</w:t>
      </w:r>
      <w:r>
        <w:t xml:space="preserve"> Solution (chemistry),</w:t>
      </w:r>
      <w:r w:rsidRPr="00CC48A9">
        <w:t xml:space="preserve"> </w:t>
      </w:r>
      <w:r w:rsidRPr="0022072C">
        <w:t>Wikipedia</w:t>
      </w:r>
      <w:r>
        <w:t xml:space="preserve">, </w:t>
      </w:r>
      <w:hyperlink r:id="rId7" w:history="1">
        <w:r w:rsidRPr="00123102">
          <w:rPr>
            <w:rStyle w:val="Hyperlink"/>
            <w:rFonts w:cs="Arial"/>
          </w:rPr>
          <w:t>https://en.wikipedia.org/wiki/Solution</w:t>
        </w:r>
        <w:r w:rsidRPr="00782BC3">
          <w:rPr>
            <w:rStyle w:val="Hyperlink"/>
            <w:rFonts w:cs="Arial"/>
          </w:rPr>
          <w:t>_(chemistry)</w:t>
        </w:r>
      </w:hyperlink>
      <w:r>
        <w:t xml:space="preserve"> </w:t>
      </w:r>
      <w:r w:rsidRPr="00123102">
        <w:t>(</w:t>
      </w:r>
      <w:r w:rsidRPr="003C4794">
        <w:t xml:space="preserve">last edited </w:t>
      </w:r>
      <w:r>
        <w:t>Aug. 26</w:t>
      </w:r>
      <w:r w:rsidRPr="003C4794">
        <w:t>, 2021</w:t>
      </w:r>
      <w:r w:rsidRPr="00123102">
        <w:t>).</w:t>
      </w:r>
    </w:p>
  </w:footnote>
  <w:footnote w:id="11">
    <w:p w14:paraId="1068CD84" w14:textId="61B7552D" w:rsidR="003C4794" w:rsidRDefault="003C4794" w:rsidP="00A87398">
      <w:pPr>
        <w:pStyle w:val="FootnoteText"/>
      </w:pPr>
      <w:r>
        <w:rPr>
          <w:rStyle w:val="FootnoteReference"/>
        </w:rPr>
        <w:footnoteRef/>
      </w:r>
      <w:r>
        <w:t xml:space="preserve"> As the public-health-oriented commenter noted, solutions may be typically liquid, but they are not exclusively so. Because the matter at issue here is not a solution in any event, it is unnecessary to discuss here whether the reference to “liquid” in the POSECCA’s inclusion of “</w:t>
      </w:r>
      <w:r w:rsidRPr="00655F27">
        <w:t>any component, liquid, part, or accessory</w:t>
      </w:r>
      <w:r>
        <w:t xml:space="preserve"> of [an ENDS] device” excludes the possibility that covered devices may be used with solid solutions.</w:t>
      </w:r>
    </w:p>
  </w:footnote>
  <w:footnote w:id="12">
    <w:p w14:paraId="07693091" w14:textId="505AF3D6" w:rsidR="003C4794" w:rsidRDefault="003C4794" w:rsidP="00A87398">
      <w:pPr>
        <w:pStyle w:val="FootnoteText"/>
      </w:pPr>
      <w:r>
        <w:rPr>
          <w:rStyle w:val="FootnoteReference"/>
        </w:rPr>
        <w:footnoteRef/>
      </w:r>
      <w:r>
        <w:t xml:space="preserve"> We further note that the commenter’s proposed addition of “into the lungs” would not have any material effect. </w:t>
      </w:r>
      <w:r>
        <w:t>By definition, all inhalation, whether of ambient air or of vapor directly from the emitting device, is “into the lungs.”</w:t>
      </w:r>
    </w:p>
  </w:footnote>
  <w:footnote w:id="13">
    <w:p w14:paraId="0C21CAF2" w14:textId="1ED8D61E" w:rsidR="003C4794" w:rsidRDefault="003C4794" w:rsidP="00A87398">
      <w:pPr>
        <w:pStyle w:val="FootnoteText"/>
      </w:pPr>
      <w:r>
        <w:rPr>
          <w:rStyle w:val="FootnoteReference"/>
        </w:rPr>
        <w:footnoteRef/>
      </w:r>
      <w:r>
        <w:t xml:space="preserve"> </w:t>
      </w:r>
      <w:r w:rsidRPr="00AF27CF">
        <w:t>See</w:t>
      </w:r>
      <w:r>
        <w:t xml:space="preserve"> </w:t>
      </w:r>
      <w:r>
        <w:t>Máirtin S. McDermott et al., “</w:t>
      </w:r>
      <w:r w:rsidRPr="00AF27CF">
        <w:t>The Effectiveness of Using E-Cigarettes for Quitting Smoking Compared to Other Cessation Methods Among Adults in the United Kingdom</w:t>
      </w:r>
      <w:r>
        <w:t xml:space="preserve">,” __ </w:t>
      </w:r>
      <w:r w:rsidRPr="00775AB3">
        <w:rPr>
          <w:i/>
          <w:iCs/>
        </w:rPr>
        <w:t>Addiction</w:t>
      </w:r>
      <w:r>
        <w:t xml:space="preserve"> __ (2021), </w:t>
      </w:r>
      <w:hyperlink r:id="rId8" w:history="1">
        <w:r w:rsidRPr="00CE6B58">
          <w:rPr>
            <w:rStyle w:val="Hyperlink"/>
            <w:rFonts w:cs="Arial"/>
          </w:rPr>
          <w:t>https://onlinelibrary.wiley.com/doi/10.1111/add.15474</w:t>
        </w:r>
      </w:hyperlink>
      <w:r>
        <w:t>; Peter Hajek et al., “</w:t>
      </w:r>
      <w:r w:rsidRPr="00AF27CF">
        <w:t>A Randomized Trial of E-Cigarettes Versus Nicotine-Replacement Therapy</w:t>
      </w:r>
      <w:r>
        <w:t xml:space="preserve">,” 380 </w:t>
      </w:r>
      <w:r w:rsidRPr="00775AB3">
        <w:rPr>
          <w:i/>
          <w:iCs/>
        </w:rPr>
        <w:t>New Eng. J. Med.</w:t>
      </w:r>
      <w:r>
        <w:t xml:space="preserve"> 629 (2019), </w:t>
      </w:r>
      <w:hyperlink r:id="rId9" w:history="1">
        <w:r w:rsidRPr="00CE6B58">
          <w:rPr>
            <w:rStyle w:val="Hyperlink"/>
            <w:rFonts w:cs="Arial"/>
          </w:rPr>
          <w:t>https://www.nejm.org/doi/full/10.1056/NEJMoa1808779</w:t>
        </w:r>
      </w:hyperlink>
      <w:r>
        <w:t>; Jamie Brown et al., “</w:t>
      </w:r>
      <w:r w:rsidRPr="00AF27CF">
        <w:t>Real-World Effectiveness of E-Cigarettes When Used to Aid Smoking Cessation: A Cross</w:t>
      </w:r>
      <w:r w:rsidRPr="00AF27CF">
        <w:rPr>
          <w:rFonts w:ascii="Cambria Math" w:hAnsi="Cambria Math" w:cs="Cambria Math"/>
        </w:rPr>
        <w:t>‐</w:t>
      </w:r>
      <w:r w:rsidRPr="00AF27CF">
        <w:t>Sectional Population Study</w:t>
      </w:r>
      <w:r>
        <w:t xml:space="preserve">,” 109 </w:t>
      </w:r>
      <w:r w:rsidRPr="00775AB3">
        <w:rPr>
          <w:i/>
          <w:iCs/>
        </w:rPr>
        <w:t>Addiction</w:t>
      </w:r>
      <w:r>
        <w:t xml:space="preserve"> 1531 (2014), </w:t>
      </w:r>
      <w:hyperlink r:id="rId10" w:history="1">
        <w:r w:rsidRPr="006042ED">
          <w:rPr>
            <w:rStyle w:val="Hyperlink"/>
            <w:rFonts w:cs="Arial"/>
          </w:rPr>
          <w:t>https://onlinelibrary.wiley.com/doi/full/10.1111/add.12623</w:t>
        </w:r>
      </w:hyperlink>
      <w:r>
        <w:t xml:space="preserve">. It should be noted that the Hajek article website includes </w:t>
      </w:r>
      <w:r>
        <w:t>a number of letters by other researchers pointing out limitations in the study design and questioning the reliability of its findings.</w:t>
      </w:r>
    </w:p>
  </w:footnote>
  <w:footnote w:id="14">
    <w:p w14:paraId="3D923737" w14:textId="67C68207" w:rsidR="003C4794" w:rsidRDefault="003C4794" w:rsidP="00A87398">
      <w:pPr>
        <w:pStyle w:val="FootnoteText"/>
      </w:pPr>
      <w:r>
        <w:rPr>
          <w:rStyle w:val="FootnoteReference"/>
        </w:rPr>
        <w:footnoteRef/>
      </w:r>
      <w:r>
        <w:t xml:space="preserve"> FDA, </w:t>
      </w:r>
      <w:r>
        <w:t xml:space="preserve">Drugs@FDA: FDA-Approved Drugs, </w:t>
      </w:r>
      <w:hyperlink r:id="rId11" w:history="1">
        <w:r w:rsidRPr="00CE6B58">
          <w:rPr>
            <w:rStyle w:val="Hyperlink"/>
            <w:rFonts w:cs="Arial"/>
          </w:rPr>
          <w:t>https://go.usa.gov/xHHxa</w:t>
        </w:r>
      </w:hyperlink>
      <w:r>
        <w:t xml:space="preserve"> (search for “nicotine” conducted </w:t>
      </w:r>
      <w:r w:rsidRPr="003C4794">
        <w:t>Oct. 14, 2021</w:t>
      </w:r>
      <w:r w:rsidRPr="00184158">
        <w:t xml:space="preserve"> yielded no ENDS-related results); Hassan Z. Sheikh, Regulation of Electronic</w:t>
      </w:r>
      <w:r>
        <w:t xml:space="preserve"> Nicotine </w:t>
      </w:r>
      <w:r w:rsidRPr="00927127">
        <w:t>Delivery Systems (ENDS): Background and Select Policy Issues in the 117th Congress</w:t>
      </w:r>
      <w:r>
        <w:t xml:space="preserve"> 5 (Cong. Research Serv. Sept. 30, 2021); Richard J. Wang et al., “</w:t>
      </w:r>
      <w:r w:rsidRPr="00AF27CF">
        <w:t>E-Cigarette Use and Adult Cigarette Smoking Cessation: A Meta-Analysis</w:t>
      </w:r>
      <w:r>
        <w:t xml:space="preserve">,” 111 </w:t>
      </w:r>
      <w:r w:rsidRPr="00775AB3">
        <w:rPr>
          <w:i/>
          <w:iCs/>
        </w:rPr>
        <w:t>Am. J. Pub. Health</w:t>
      </w:r>
      <w:r>
        <w:t xml:space="preserve"> 230 (2020), </w:t>
      </w:r>
      <w:hyperlink r:id="rId12" w:history="1">
        <w:r w:rsidRPr="00CE6B58">
          <w:rPr>
            <w:rStyle w:val="Hyperlink"/>
            <w:rFonts w:cs="Arial"/>
          </w:rPr>
          <w:t>https://ajph.aphapublications.org/doi/full/10.2105/AJPH.2020.305999</w:t>
        </w:r>
      </w:hyperlink>
      <w:r>
        <w:t xml:space="preserve"> (“E-cigarettes have been promoted for smoking cessation even though, as of November 2020, no e-cigarette has been approved as a smoking cessation medication by the FDA Center for Drug Evaluation and Research (CDER).” (citations omitted)).</w:t>
      </w:r>
    </w:p>
  </w:footnote>
  <w:footnote w:id="15">
    <w:p w14:paraId="6A7448B3" w14:textId="56CBB632" w:rsidR="003C4794" w:rsidRDefault="003C4794" w:rsidP="00A87398">
      <w:pPr>
        <w:pStyle w:val="FootnoteText"/>
      </w:pPr>
      <w:r>
        <w:rPr>
          <w:rStyle w:val="FootnoteReference"/>
        </w:rPr>
        <w:footnoteRef/>
      </w:r>
      <w:r>
        <w:t xml:space="preserve"> The FDA has approved a small number of drugs that contain CBD, a synthetic THC (dronabinol), and a synthetic chemical </w:t>
      </w:r>
      <w:r>
        <w:t>similar to THC (nabilone), but only for oral delivery in capsule or solution form, n</w:t>
      </w:r>
      <w:r w:rsidRPr="009B6A7B">
        <w:t xml:space="preserve">ot via an ENDS. FDA, </w:t>
      </w:r>
      <w:r w:rsidRPr="009B6A7B">
        <w:t>Drugs@FDA: FDA-Approved Drugs (</w:t>
      </w:r>
      <w:r w:rsidRPr="003C4794">
        <w:t>searches conducted Oct. 14, 2021</w:t>
      </w:r>
      <w:r w:rsidRPr="009B6A7B">
        <w:t>);</w:t>
      </w:r>
      <w:r>
        <w:t xml:space="preserve"> </w:t>
      </w:r>
      <w:r w:rsidRPr="00AF27CF">
        <w:t xml:space="preserve">see </w:t>
      </w:r>
      <w:r w:rsidRPr="00B615E4">
        <w:t>Scientific Data and Information About Products Containing Cannabis or Cannabis-Derived Compounds</w:t>
      </w:r>
      <w:r>
        <w:t>, 84 FR 12969, 12972–12973 (2019).</w:t>
      </w:r>
    </w:p>
  </w:footnote>
  <w:footnote w:id="16">
    <w:p w14:paraId="1011E39D" w14:textId="319811A0" w:rsidR="003C4794" w:rsidRDefault="003C4794" w:rsidP="00A87398">
      <w:pPr>
        <w:pStyle w:val="FootnoteText"/>
      </w:pPr>
      <w:r>
        <w:rPr>
          <w:rStyle w:val="FootnoteReference"/>
        </w:rPr>
        <w:footnoteRef/>
      </w:r>
      <w:r>
        <w:t xml:space="preserve"> All citations to Publication 52 chapter 47 throughout this section III refer to the version in effect prior to this final rule.</w:t>
      </w:r>
    </w:p>
  </w:footnote>
  <w:footnote w:id="17">
    <w:p w14:paraId="78F66DE2" w14:textId="449BB340" w:rsidR="003C4794" w:rsidRDefault="003C4794" w:rsidP="00A87398">
      <w:pPr>
        <w:pStyle w:val="FootnoteText"/>
      </w:pPr>
      <w:r>
        <w:rPr>
          <w:rStyle w:val="FootnoteReference"/>
        </w:rPr>
        <w:footnoteRef/>
      </w:r>
      <w:r>
        <w:t xml:space="preserve"> Indeed, in subscribing to this set of comments, one of the commenting State attorneys general provided contact information that listed a Post Office Box address.</w:t>
      </w:r>
    </w:p>
  </w:footnote>
  <w:footnote w:id="18">
    <w:p w14:paraId="3575B0B0" w14:textId="63CEC6C3" w:rsidR="003C4794" w:rsidRDefault="003C4794" w:rsidP="00A87398">
      <w:pPr>
        <w:pStyle w:val="FootnoteText"/>
      </w:pPr>
      <w:r>
        <w:rPr>
          <w:rStyle w:val="FootnoteReference"/>
        </w:rPr>
        <w:footnoteRef/>
      </w:r>
      <w:r>
        <w:t xml:space="preserve"> The Postal Service is statutorily obligated to pursue economy and efficiency in its operations. 39 U.S.C. 101(a), 403(a), (b)(1), 2010, 3661(a).</w:t>
      </w:r>
    </w:p>
  </w:footnote>
  <w:footnote w:id="19">
    <w:p w14:paraId="64579563" w14:textId="1B7ACE02" w:rsidR="003C4794" w:rsidRDefault="003C4794" w:rsidP="00A87398">
      <w:pPr>
        <w:pStyle w:val="FootnoteText"/>
      </w:pPr>
      <w:r>
        <w:rPr>
          <w:rStyle w:val="FootnoteReference"/>
        </w:rPr>
        <w:footnoteRef/>
      </w:r>
      <w:r>
        <w:t xml:space="preserve"> Unlike most Federal agencies, the Postal Service is supported almost entirely by revenues, not appropriations of taxpayer dollars. See generally 39 U.S.C. 2401. The Postal Service incurred multibillion-dollar net losses in each the past fourteen years, with a cumulative deficiency of $87.0 billion as of the end of FY 2020 and liquidity levels that place the current and future fulfillment of its statutory mission at risk. U.S. Postal Serv., 2020 Report on Form 10-K, at 68, </w:t>
      </w:r>
      <w:hyperlink r:id="rId13" w:history="1">
        <w:r w:rsidRPr="00D33AB6">
          <w:rPr>
            <w:rStyle w:val="Hyperlink"/>
          </w:rPr>
          <w:t>https://about.usps.com/what/financials/10k-reports/fy2020.pdf</w:t>
        </w:r>
      </w:hyperlink>
      <w:r>
        <w:t>.</w:t>
      </w:r>
    </w:p>
  </w:footnote>
  <w:footnote w:id="20">
    <w:p w14:paraId="16AFCF4A" w14:textId="071DE2C2" w:rsidR="003C4794" w:rsidRDefault="003C4794" w:rsidP="00A87398">
      <w:pPr>
        <w:pStyle w:val="FootnoteText"/>
      </w:pPr>
      <w:r>
        <w:rPr>
          <w:rStyle w:val="FootnoteReference"/>
        </w:rPr>
        <w:footnoteRef/>
      </w:r>
      <w:r>
        <w:t xml:space="preserve"> Moreover, it is difficult to see how the proposal to delay effectiveness until applications can be approved would work in practice. The Postal Service cannot predict how many applications it will receive, their timing and pacing, or their extensiveness, and so it cannot predict how long it will take to process even an initial batch of applications. </w:t>
      </w:r>
    </w:p>
  </w:footnote>
  <w:footnote w:id="21">
    <w:p w14:paraId="77D6EDCD" w14:textId="7E3E8007" w:rsidR="003C4794" w:rsidRDefault="003C4794" w:rsidP="00A87398">
      <w:pPr>
        <w:pStyle w:val="FootnoteText"/>
      </w:pPr>
      <w:r w:rsidRPr="000D12D0">
        <w:rPr>
          <w:rStyle w:val="FootnoteReference"/>
        </w:rPr>
        <w:footnoteRef/>
      </w:r>
      <w:r w:rsidRPr="000D12D0">
        <w:t xml:space="preserve"> For example, if multiple analysts are conducting initial review of a batch of applications received on the same day, a later-filed application may advance in the review queue before an earlier-filed one that is still being reviewed by a different analyst. It would remain the case that any given reviewer will operate on a FIFO basis, however.</w:t>
      </w:r>
    </w:p>
  </w:footnote>
  <w:footnote w:id="22">
    <w:p w14:paraId="5E16B786" w14:textId="4DB46D84" w:rsidR="003C4794" w:rsidRPr="00496832" w:rsidRDefault="003C4794" w:rsidP="00A87398">
      <w:pPr>
        <w:pStyle w:val="FootnoteText"/>
      </w:pPr>
      <w:r>
        <w:rPr>
          <w:rStyle w:val="FootnoteReference"/>
        </w:rPr>
        <w:footnoteRef/>
      </w:r>
      <w:r>
        <w:t xml:space="preserve"> To promote clarity, however, the Postal Service will use a different terminological approach in its regulations. </w:t>
      </w:r>
      <w:r w:rsidRPr="00AF27CF">
        <w:t xml:space="preserve">See </w:t>
      </w:r>
      <w:r w:rsidRPr="00AF27CF">
        <w:rPr>
          <w:i/>
          <w:iCs/>
        </w:rPr>
        <w:t>infra</w:t>
      </w:r>
      <w:r>
        <w:t xml:space="preserve"> </w:t>
      </w:r>
      <w:r w:rsidRPr="00A26704">
        <w:t xml:space="preserve">section </w:t>
      </w:r>
      <w:r w:rsidRPr="0022072C">
        <w:t>III.J.3</w:t>
      </w:r>
      <w:r w:rsidRPr="00A26704">
        <w:t>.</w:t>
      </w:r>
    </w:p>
  </w:footnote>
  <w:footnote w:id="23">
    <w:p w14:paraId="0459423A" w14:textId="6F986F5D" w:rsidR="003C4794" w:rsidRPr="00DD05AA" w:rsidRDefault="003C4794" w:rsidP="00A87398">
      <w:pPr>
        <w:pStyle w:val="FootnoteText"/>
      </w:pPr>
      <w:r>
        <w:rPr>
          <w:rStyle w:val="FootnoteReference"/>
        </w:rPr>
        <w:footnoteRef/>
      </w:r>
      <w:r>
        <w:t xml:space="preserve"> It is possible that the commenters’ concern arises not from the portion of the PACT Act that governs mailability, but from the separate portion that governs delivery sales more generally via modification of the Jenkins Act. </w:t>
      </w:r>
      <w:r w:rsidRPr="00AF27CF">
        <w:t>See</w:t>
      </w:r>
      <w:r>
        <w:t xml:space="preserve"> 15 U.S.C. 376a(a)(3)(B) (requiring delivery sellers to comply with “all State, local, tribal, and other laws generally applicable to sales of cigarettes and smokeless tobacco,” including “licensing and tax-stamping requirements”). But that provision applies only to “delivery sales” to consumers. </w:t>
      </w:r>
      <w:r w:rsidRPr="00AF27CF">
        <w:t>See</w:t>
      </w:r>
      <w:r>
        <w:t xml:space="preserve"> 15 U.S.C. 375(5). Except for intrastate shipments within Alaska and Hawaii, such sales are beyond the scope of the exceptions to the PACT Act’s mailing ban, and so they cannot be effectuated through the mails. As such, if the Jenkins Act provision is the basis for the commenters’ concern, then it appears to be largely inapposite in this context. As noted in </w:t>
      </w:r>
      <w:r w:rsidRPr="00A26704">
        <w:t xml:space="preserve">section </w:t>
      </w:r>
      <w:r w:rsidRPr="0022072C">
        <w:t>III.C.3</w:t>
      </w:r>
      <w:r>
        <w:t>, inquiries about the application of Jenkins Act requirements to delivery-sale-related postal shipments of ENDS products within Alaska and Hawaii should be directed to ATF.</w:t>
      </w:r>
    </w:p>
  </w:footnote>
  <w:footnote w:id="24">
    <w:p w14:paraId="73AE98AD" w14:textId="79B577C8" w:rsidR="003C4794" w:rsidRDefault="003C4794" w:rsidP="00A87398">
      <w:pPr>
        <w:pStyle w:val="FootnoteText"/>
      </w:pPr>
      <w:r>
        <w:rPr>
          <w:rStyle w:val="FootnoteReference"/>
        </w:rPr>
        <w:footnoteRef/>
      </w:r>
      <w:r>
        <w:t xml:space="preserve"> While the Postal Service will retain the preexisting rule permitting waiver, upon request, of application requirements for mailings sent by State or Federal Government agencies, such waivers are not available to business applicants sending to government agencies.</w:t>
      </w:r>
    </w:p>
  </w:footnote>
  <w:footnote w:id="25">
    <w:p w14:paraId="289A47DE" w14:textId="45F5349A" w:rsidR="003C4794" w:rsidRDefault="003C4794" w:rsidP="00A87398">
      <w:pPr>
        <w:pStyle w:val="FootnoteText"/>
      </w:pPr>
      <w:r>
        <w:rPr>
          <w:rStyle w:val="FootnoteReference"/>
        </w:rPr>
        <w:footnoteRef/>
      </w:r>
      <w:r>
        <w:t xml:space="preserve"> As noted in </w:t>
      </w:r>
      <w:r w:rsidRPr="00A22D99">
        <w:t xml:space="preserve">section </w:t>
      </w:r>
      <w:r w:rsidRPr="0022072C">
        <w:t>III.G.3</w:t>
      </w:r>
      <w:r>
        <w:t>, the Postal Service is statutorily obligated to pursue economy and efficiency in its operations.</w:t>
      </w:r>
    </w:p>
  </w:footnote>
  <w:footnote w:id="26">
    <w:p w14:paraId="020537F3" w14:textId="6AEFCE7C" w:rsidR="003C4794" w:rsidRDefault="003C4794" w:rsidP="00A87398">
      <w:pPr>
        <w:pStyle w:val="FootnoteText"/>
      </w:pPr>
      <w:r>
        <w:rPr>
          <w:rStyle w:val="FootnoteReference"/>
        </w:rPr>
        <w:footnoteRef/>
      </w:r>
      <w:r>
        <w:t xml:space="preserve"> </w:t>
      </w:r>
      <w:r w:rsidRPr="000D3A79">
        <w:rPr>
          <w:rFonts w:eastAsia="Arial"/>
        </w:rPr>
        <w:t>The Consumer Testing</w:t>
      </w:r>
      <w:r>
        <w:rPr>
          <w:rFonts w:eastAsia="Arial" w:cs="Arial"/>
        </w:rPr>
        <w:t xml:space="preserve"> exception</w:t>
      </w:r>
      <w:r w:rsidRPr="000D3A79">
        <w:rPr>
          <w:rFonts w:eastAsia="Arial"/>
        </w:rPr>
        <w:t xml:space="preserve"> does permit the distribution of cigarettes to individual consumers solely for testing purposes, subject to various conditions and, again, only to the extent consistent with applicable laws and regulations. As discussed in section III.I, the Consumer Testing exception does not apply to smokeless tobacco or ENDS products.</w:t>
      </w:r>
    </w:p>
  </w:footnote>
  <w:footnote w:id="27">
    <w:p w14:paraId="2351FE6A" w14:textId="4DC21FA9" w:rsidR="003C4794" w:rsidRPr="0085234B" w:rsidRDefault="003C4794" w:rsidP="00A87398">
      <w:pPr>
        <w:pStyle w:val="FootnoteText"/>
      </w:pPr>
      <w:r>
        <w:rPr>
          <w:rStyle w:val="FootnoteReference"/>
        </w:rPr>
        <w:footnoteRef/>
      </w:r>
      <w:r>
        <w:t xml:space="preserve"> The academic literature cited by these commenters is inapt. One cited study </w:t>
      </w:r>
      <w:r>
        <w:t xml:space="preserve">purports to present findings about a lack of age verification for postal deliveries of e-cigarettes in 2014 in violation of the PACT Act, but neither the PACT Act nor any age-verification condition on mailing applied to e-cigarettes at that time. See generally Rebecca S. Williams et al., “Electronic Cigarette Sales to Minors Via the Internet,” 169 </w:t>
      </w:r>
      <w:r>
        <w:rPr>
          <w:i/>
          <w:iCs/>
        </w:rPr>
        <w:t>JAMA Pediatrics</w:t>
      </w:r>
      <w:r>
        <w:t xml:space="preserve"> e1563 (2015). The other allegedly relevant article claims that Postal Service letter carriers did not attempt to conduct age verification for deliveries of cigarettes by online businesses (not individuals, such as might be relevant to the Certain Individuals exception). Rebecca S. Williams et al., “Cigarette Sales to Minors Via the Internet: How the Story Has Changed in the Wake of Federal Regulation,” 26 </w:t>
      </w:r>
      <w:r>
        <w:rPr>
          <w:i/>
          <w:iCs/>
        </w:rPr>
        <w:t>Tobacco Control</w:t>
      </w:r>
      <w:r>
        <w:t xml:space="preserve"> 415 (2017). That article focuses on the consumers’ interactions with online vendors and the Postal Service. As recipients, of course, consumers’ knowledge or behavior is not transparent to the Postal Service; rather, from the Postal Service’s perspective, the mailer (here, the internet vendor) is responsible for compliance with mailing requirements. Publication 52 section 212. The article provides no basis to think that the mailers gave the Postal Service (and thus letter carriers) any indication, let alone a reasonable one, to perceive that the contents of their packages might be nonmailable or require age verification. Indeed, the researchers expressly allowed minor test subjects to misrepresent their age and use their parents’ drivers’ licenses to bypass age-verification questions. Rebecca S. Williams et al., “Cigarette Sales to Minors Via the Internet.” Notably, another study cited by the commenters attests that nearly 90 percent of youth access to tobacco products (including ENDS products) occurs via a third-party intermediary (e.g., one who purchased them either lawfully or fraudulently), and not via an attempt by the underage user to order and obtain delivery the products directly. Sherry T. Liu, “Youth Access to Tobacco Products in the United States, 2016–2018,” 5 </w:t>
      </w:r>
      <w:r>
        <w:rPr>
          <w:i/>
          <w:iCs/>
        </w:rPr>
        <w:t>Tobacco Regulatory Science</w:t>
      </w:r>
      <w:r>
        <w:t xml:space="preserve"> 491 (2019). </w:t>
      </w:r>
    </w:p>
  </w:footnote>
  <w:footnote w:id="28">
    <w:p w14:paraId="69AD0F42" w14:textId="79B99CFF" w:rsidR="003C4794" w:rsidRDefault="003C4794" w:rsidP="00A87398">
      <w:pPr>
        <w:pStyle w:val="FootnoteText"/>
      </w:pPr>
      <w:r>
        <w:rPr>
          <w:rStyle w:val="FootnoteReference"/>
        </w:rPr>
        <w:footnoteRef/>
      </w:r>
      <w:r>
        <w:t xml:space="preserve"> </w:t>
      </w:r>
      <w:r w:rsidRPr="00AF27CF">
        <w:t>See</w:t>
      </w:r>
      <w:r>
        <w:t xml:space="preserve"> CDC, Press Release, </w:t>
      </w:r>
      <w:r w:rsidRPr="00843F88">
        <w:t>Smoking Is Down, But Almost 38 Million American Adults Still Smoke</w:t>
      </w:r>
      <w:r>
        <w:t xml:space="preserve">, Jan. 18, 2018, </w:t>
      </w:r>
      <w:hyperlink r:id="rId14" w:history="1">
        <w:r w:rsidRPr="00FC2222">
          <w:rPr>
            <w:rStyle w:val="Hyperlink"/>
          </w:rPr>
          <w:t>https://go.usa.gov/x6qSt</w:t>
        </w:r>
      </w:hyperlink>
      <w:r>
        <w:rPr>
          <w:rStyle w:val="Hyperlink"/>
        </w:rPr>
        <w:t xml:space="preserve"> </w:t>
      </w:r>
      <w:r>
        <w:t>(2016 data).</w:t>
      </w:r>
    </w:p>
  </w:footnote>
  <w:footnote w:id="29">
    <w:p w14:paraId="71DD3C77" w14:textId="2FE36BB1" w:rsidR="003C4794" w:rsidRPr="004131F5" w:rsidRDefault="003C4794" w:rsidP="00A87398">
      <w:pPr>
        <w:pStyle w:val="FootnoteText"/>
      </w:pPr>
      <w:r>
        <w:rPr>
          <w:rStyle w:val="FootnoteReference"/>
        </w:rPr>
        <w:footnoteRef/>
      </w:r>
      <w:r>
        <w:t xml:space="preserve"> Sian Ferguson, “</w:t>
      </w:r>
      <w:r w:rsidRPr="00AF27CF">
        <w:t>CBD Dosage: Figuring Out How Much to Take</w:t>
      </w:r>
      <w:r>
        <w:t xml:space="preserve">,” </w:t>
      </w:r>
      <w:r w:rsidRPr="00775AB3">
        <w:rPr>
          <w:i/>
          <w:iCs/>
        </w:rPr>
        <w:t>Healthline</w:t>
      </w:r>
      <w:r>
        <w:t xml:space="preserve">, Aug. 1, 2019, </w:t>
      </w:r>
      <w:hyperlink r:id="rId15" w:history="1">
        <w:r w:rsidRPr="00FC2222">
          <w:rPr>
            <w:rStyle w:val="Hyperlink"/>
          </w:rPr>
          <w:t>https://www.healthline.com/health/cbd-dosage</w:t>
        </w:r>
      </w:hyperlink>
      <w:r>
        <w:t xml:space="preserve">. </w:t>
      </w:r>
    </w:p>
  </w:footnote>
  <w:footnote w:id="30">
    <w:p w14:paraId="33641B4F" w14:textId="4D34B661" w:rsidR="003C4794" w:rsidRPr="00775AB3" w:rsidRDefault="003C4794" w:rsidP="00A87398">
      <w:pPr>
        <w:pStyle w:val="FootnoteText"/>
      </w:pPr>
      <w:r>
        <w:rPr>
          <w:rStyle w:val="FootnoteReference"/>
        </w:rPr>
        <w:footnoteRef/>
      </w:r>
      <w:r>
        <w:t xml:space="preserve"> “</w:t>
      </w:r>
      <w:r w:rsidRPr="001520BB">
        <w:t>E-cigarettes purportedly do not produce a</w:t>
      </w:r>
      <w:r>
        <w:t xml:space="preserve"> </w:t>
      </w:r>
      <w:r w:rsidRPr="001520BB">
        <w:t>combusted smoke; rather, they deliver an aerosol</w:t>
      </w:r>
      <w:r>
        <w:t xml:space="preserve"> </w:t>
      </w:r>
      <w:r w:rsidRPr="001520BB">
        <w:t>containing nicotine and other tobacco-related compounds</w:t>
      </w:r>
      <w:r>
        <w:t>.” Megan J. Schroeder &amp; Allison C. Hoffman, “</w:t>
      </w:r>
      <w:r w:rsidRPr="00AF27CF">
        <w:t>Electronic Cigarettes and Nicotine Clinical Pharmacology</w:t>
      </w:r>
      <w:r>
        <w:t xml:space="preserve">,” 23 </w:t>
      </w:r>
      <w:r w:rsidRPr="00775AB3">
        <w:rPr>
          <w:i/>
          <w:iCs/>
        </w:rPr>
        <w:t>Tobacco Control</w:t>
      </w:r>
      <w:r w:rsidRPr="00775AB3">
        <w:t xml:space="preserve"> ii30 (2014), </w:t>
      </w:r>
      <w:hyperlink r:id="rId16" w:history="1">
        <w:r w:rsidRPr="00775AB3">
          <w:rPr>
            <w:rStyle w:val="Hyperlink"/>
          </w:rPr>
          <w:t>https://tobaccocontrol.bmj.com/content/tobaccocontrol/23/suppl_2/ii30.full.pdf</w:t>
        </w:r>
      </w:hyperlink>
      <w:r w:rsidRPr="00775AB3">
        <w:t xml:space="preserve">. “Smoking” and “vaping” are frequently placed in opposition to one another in popular </w:t>
      </w:r>
      <w:r>
        <w:t>discourse</w:t>
      </w:r>
      <w:r w:rsidRPr="00775AB3">
        <w:t xml:space="preserve">.  See, e.g., Julia </w:t>
      </w:r>
      <w:r w:rsidRPr="00775AB3">
        <w:t xml:space="preserve">Savacool, </w:t>
      </w:r>
      <w:r>
        <w:t>“</w:t>
      </w:r>
      <w:r w:rsidRPr="00775AB3">
        <w:t>Vaping Vs. Smoking: Is One Better for Your Lungs? Here’s What Experts Say,</w:t>
      </w:r>
      <w:r>
        <w:t>”</w:t>
      </w:r>
      <w:r w:rsidRPr="00775AB3">
        <w:t xml:space="preserve"> </w:t>
      </w:r>
      <w:r w:rsidRPr="00775AB3">
        <w:rPr>
          <w:i/>
          <w:iCs/>
        </w:rPr>
        <w:t>Parade</w:t>
      </w:r>
      <w:r w:rsidRPr="00775AB3">
        <w:t xml:space="preserve">, Feb. 20, 2021, </w:t>
      </w:r>
      <w:hyperlink r:id="rId17" w:history="1">
        <w:r w:rsidRPr="00775AB3">
          <w:rPr>
            <w:rStyle w:val="Hyperlink"/>
          </w:rPr>
          <w:t>https://parade.com/1093720/julia-savacool/vaping-vs-smoking</w:t>
        </w:r>
      </w:hyperlink>
      <w:r w:rsidRPr="00775AB3">
        <w:t xml:space="preserve">; Scott Roberts Law, </w:t>
      </w:r>
      <w:r>
        <w:t>“</w:t>
      </w:r>
      <w:r w:rsidRPr="00775AB3">
        <w:t>What’s the Difference Between Smoking and Vaping?,</w:t>
      </w:r>
      <w:r>
        <w:t>”</w:t>
      </w:r>
      <w:r w:rsidRPr="00775AB3">
        <w:t xml:space="preserve"> </w:t>
      </w:r>
      <w:r w:rsidRPr="00775AB3">
        <w:rPr>
          <w:i/>
          <w:iCs/>
        </w:rPr>
        <w:t>Michigan Cannabis Business Blog</w:t>
      </w:r>
      <w:r w:rsidRPr="00775AB3">
        <w:t xml:space="preserve">, May 14, 2020, </w:t>
      </w:r>
      <w:hyperlink r:id="rId18" w:history="1">
        <w:r w:rsidRPr="00775AB3">
          <w:rPr>
            <w:rStyle w:val="Hyperlink"/>
          </w:rPr>
          <w:t>https://scottrobertslaw.com/whats-the-difference-between-smoking-and-vaping</w:t>
        </w:r>
      </w:hyperlink>
      <w:r w:rsidRPr="00775AB3">
        <w:t xml:space="preserve">; Nick English, </w:t>
      </w:r>
      <w:r>
        <w:t>“</w:t>
      </w:r>
      <w:r w:rsidRPr="00775AB3">
        <w:t>I Started Vaping to Quit Smoking, and It Was a Huge Mistake,</w:t>
      </w:r>
      <w:r>
        <w:t>”</w:t>
      </w:r>
      <w:r w:rsidRPr="00775AB3">
        <w:t xml:space="preserve"> </w:t>
      </w:r>
      <w:r w:rsidRPr="00775AB3">
        <w:rPr>
          <w:i/>
          <w:iCs/>
        </w:rPr>
        <w:t>Men’s Health</w:t>
      </w:r>
      <w:r w:rsidRPr="00775AB3">
        <w:t xml:space="preserve">, Oct. 22, 2018, </w:t>
      </w:r>
      <w:hyperlink r:id="rId19" w:history="1">
        <w:r w:rsidRPr="00775AB3">
          <w:rPr>
            <w:rStyle w:val="Hyperlink"/>
          </w:rPr>
          <w:t>https://www.menshealth.com/health/a23937726/vaping-vs-smoking</w:t>
        </w:r>
      </w:hyperlink>
      <w:r w:rsidRPr="00775AB3">
        <w:t>. Pro-ENDS commenters engaged in the same tendency when touting ENDS use as a beneficial alternative to combustible cigarettes. Two industry associations even styled themselves as promoters of “smoke-free alternatives” and “smoking alternatives.”</w:t>
      </w:r>
    </w:p>
  </w:footnote>
  <w:footnote w:id="31">
    <w:p w14:paraId="65340F54" w14:textId="0C545359" w:rsidR="003C4794" w:rsidRDefault="003C4794" w:rsidP="00A87398">
      <w:pPr>
        <w:pStyle w:val="FootnoteText"/>
      </w:pPr>
      <w:r>
        <w:rPr>
          <w:rStyle w:val="FootnoteReference"/>
        </w:rPr>
        <w:footnoteRef/>
      </w:r>
      <w:r>
        <w:t xml:space="preserve"> The nicotine content of combustible cigarettes in the United States has been measured to range from 7.2 to 13.4 mg per cigarette, or about </w:t>
      </w:r>
      <w:r>
        <w:rPr>
          <w:rFonts w:cs="Arial"/>
        </w:rPr>
        <w:t>±</w:t>
      </w:r>
      <w:r>
        <w:t>30 percent around the mean of 10.2 mg per cigarette. Lynn T. Kozlowski et al., “</w:t>
      </w:r>
      <w:r w:rsidRPr="00AF27CF">
        <w:rPr>
          <w:rStyle w:val="HTMLCite"/>
          <w:i w:val="0"/>
          <w:iCs w:val="0"/>
        </w:rPr>
        <w:t>Filter Ventilation and Nicotine Content of Tobacco in Cigarettes from Canada, the United Kingdom, and the United States</w:t>
      </w:r>
      <w:r>
        <w:rPr>
          <w:rStyle w:val="HTMLCite"/>
          <w:i w:val="0"/>
          <w:iCs w:val="0"/>
        </w:rPr>
        <w:t xml:space="preserve">,” 7 </w:t>
      </w:r>
      <w:r w:rsidRPr="00775AB3">
        <w:rPr>
          <w:rStyle w:val="HTMLCite"/>
        </w:rPr>
        <w:t>Tobacco Control</w:t>
      </w:r>
      <w:r>
        <w:rPr>
          <w:rStyle w:val="HTMLCite"/>
          <w:i w:val="0"/>
          <w:iCs w:val="0"/>
        </w:rPr>
        <w:t xml:space="preserve"> 369, 370 (1998), </w:t>
      </w:r>
      <w:hyperlink r:id="rId20" w:history="1">
        <w:r w:rsidRPr="00694196">
          <w:rPr>
            <w:rStyle w:val="Hyperlink"/>
          </w:rPr>
          <w:t>https://tobaccocontrol.bmj.com/content/tobaccocontrol/7/4/369.full.pdf</w:t>
        </w:r>
      </w:hyperlink>
      <w:r>
        <w:rPr>
          <w:rStyle w:val="HTMLCite"/>
          <w:i w:val="0"/>
          <w:iCs w:val="0"/>
        </w:rPr>
        <w:t xml:space="preserve">; </w:t>
      </w:r>
      <w:r w:rsidRPr="00AF27CF">
        <w:rPr>
          <w:rStyle w:val="HTMLCite"/>
          <w:i w:val="0"/>
          <w:iCs w:val="0"/>
        </w:rPr>
        <w:t>see also</w:t>
      </w:r>
      <w:r>
        <w:rPr>
          <w:rStyle w:val="HTMLCite"/>
          <w:i w:val="0"/>
          <w:iCs w:val="0"/>
        </w:rPr>
        <w:t xml:space="preserve"> Tobacco Product Standard for Nicotine Level of Combusted Cigarettes, 83 FR 11818, 11826 (2018) (10–14 mg of nicotine per cigarette in the United States, per Kozlowski et al. and others).</w:t>
      </w:r>
    </w:p>
  </w:footnote>
  <w:footnote w:id="32">
    <w:p w14:paraId="6713CA13" w14:textId="3013E89C" w:rsidR="003C4794" w:rsidRPr="00AF27CF" w:rsidRDefault="003C4794" w:rsidP="00A87398">
      <w:pPr>
        <w:pStyle w:val="FootnoteText"/>
      </w:pPr>
      <w:r>
        <w:rPr>
          <w:rStyle w:val="FootnoteReference"/>
        </w:rPr>
        <w:footnoteRef/>
      </w:r>
      <w:r>
        <w:t xml:space="preserve"> One study measured n</w:t>
      </w:r>
      <w:r>
        <w:rPr>
          <w:rStyle w:val="HTMLCite"/>
          <w:i w:val="0"/>
          <w:iCs w:val="0"/>
        </w:rPr>
        <w:t xml:space="preserve">icotine delivery from the combustible cigarettes surveyed as averaging 1.04 mg </w:t>
      </w:r>
      <w:r>
        <w:rPr>
          <w:rStyle w:val="HTMLCite"/>
          <w:rFonts w:cs="Arial"/>
          <w:i w:val="0"/>
          <w:iCs w:val="0"/>
        </w:rPr>
        <w:t xml:space="preserve">±0.36 mg, or a range of about 35 percent. Neal L. </w:t>
      </w:r>
      <w:r>
        <w:rPr>
          <w:rStyle w:val="HTMLCite"/>
          <w:rFonts w:cs="Arial"/>
          <w:i w:val="0"/>
          <w:iCs w:val="0"/>
        </w:rPr>
        <w:t>Benowitz &amp; Peyton Jacob III, “</w:t>
      </w:r>
      <w:r w:rsidRPr="00AF27CF">
        <w:rPr>
          <w:rStyle w:val="HTMLCite"/>
          <w:rFonts w:cs="Arial"/>
          <w:i w:val="0"/>
          <w:iCs w:val="0"/>
        </w:rPr>
        <w:t>Daily Intake of Nicotine During Cigarette Smoking</w:t>
      </w:r>
      <w:r>
        <w:rPr>
          <w:rStyle w:val="HTMLCite"/>
          <w:rFonts w:cs="Arial"/>
          <w:i w:val="0"/>
          <w:iCs w:val="0"/>
        </w:rPr>
        <w:t xml:space="preserve">,” 35 </w:t>
      </w:r>
      <w:r w:rsidRPr="00775AB3">
        <w:rPr>
          <w:rStyle w:val="HTMLCite"/>
          <w:rFonts w:cs="Arial"/>
        </w:rPr>
        <w:t>Clinical Pharmacology &amp; Therapeutics</w:t>
      </w:r>
      <w:r>
        <w:rPr>
          <w:rStyle w:val="HTMLCite"/>
          <w:rFonts w:cs="Arial"/>
          <w:i w:val="0"/>
          <w:iCs w:val="0"/>
        </w:rPr>
        <w:t xml:space="preserve"> 499 (1984), </w:t>
      </w:r>
      <w:r w:rsidRPr="00AF27CF">
        <w:rPr>
          <w:rStyle w:val="HTMLCite"/>
          <w:rFonts w:cs="Arial"/>
          <w:i w:val="0"/>
          <w:iCs w:val="0"/>
        </w:rPr>
        <w:t xml:space="preserve">available at </w:t>
      </w:r>
      <w:hyperlink r:id="rId21" w:history="1">
        <w:r w:rsidRPr="00694196">
          <w:rPr>
            <w:rStyle w:val="Hyperlink"/>
            <w:rFonts w:cs="Arial"/>
          </w:rPr>
          <w:t>https://ascpt.onlinelibrary.wiley.com/doi/abs/10.1038/clpt.1984.67</w:t>
        </w:r>
      </w:hyperlink>
      <w:r>
        <w:rPr>
          <w:rStyle w:val="HTMLCite"/>
          <w:rFonts w:cs="Arial"/>
          <w:i w:val="0"/>
          <w:iCs w:val="0"/>
        </w:rPr>
        <w:t xml:space="preserve">; </w:t>
      </w:r>
      <w:r w:rsidRPr="00AF27CF">
        <w:rPr>
          <w:rStyle w:val="HTMLCite"/>
          <w:rFonts w:cs="Arial"/>
          <w:i w:val="0"/>
          <w:iCs w:val="0"/>
        </w:rPr>
        <w:t>see also</w:t>
      </w:r>
      <w:r>
        <w:rPr>
          <w:rStyle w:val="HTMLCite"/>
          <w:rFonts w:cs="Arial"/>
          <w:i w:val="0"/>
          <w:iCs w:val="0"/>
        </w:rPr>
        <w:t xml:space="preserve"> 83 FR at 11826 (1.1–1.7 mg nicotine yield per cigarette)). In the Benowitz/Jacob study, cigarette smokers’ daily nicotine intake averaged 37.6 mg ±17.7 mg at 1 standard deviation, but ranged overall from 10.5 to 78.6 mg, for a total range of more than ±75 percent around the median.</w:t>
      </w:r>
    </w:p>
  </w:footnote>
  <w:footnote w:id="33">
    <w:p w14:paraId="13A7BDE6" w14:textId="729277FC" w:rsidR="003C4794" w:rsidRDefault="003C4794" w:rsidP="00A87398">
      <w:pPr>
        <w:pStyle w:val="FootnoteText"/>
      </w:pPr>
      <w:r>
        <w:rPr>
          <w:rStyle w:val="FootnoteReference"/>
        </w:rPr>
        <w:footnoteRef/>
      </w:r>
      <w:r>
        <w:t xml:space="preserve"> </w:t>
      </w:r>
      <w:r>
        <w:rPr>
          <w:rStyle w:val="HTMLCite"/>
          <w:rFonts w:cs="Arial"/>
          <w:i w:val="0"/>
          <w:iCs w:val="0"/>
        </w:rPr>
        <w:t xml:space="preserve">The amount of nicotine emitted depends on multiple variables: device power, nicotine concentration, ratio of propylene glycol to vegetable glycerin, and puff duration. </w:t>
      </w:r>
      <w:r>
        <w:t xml:space="preserve">Kathleen Stratton et al., </w:t>
      </w:r>
      <w:r w:rsidRPr="00E17AA1">
        <w:t xml:space="preserve">Public Health Consequences of E-Cigarettes </w:t>
      </w:r>
      <w:r>
        <w:t>92–94 (</w:t>
      </w:r>
      <w:r>
        <w:t xml:space="preserve">Nat’l </w:t>
      </w:r>
      <w:r w:rsidRPr="00E17AA1">
        <w:t>Acads</w:t>
      </w:r>
      <w:r>
        <w:t>.</w:t>
      </w:r>
      <w:r w:rsidRPr="00E17AA1">
        <w:t xml:space="preserve"> of Sc</w:t>
      </w:r>
      <w:r>
        <w:t>i</w:t>
      </w:r>
      <w:r w:rsidRPr="00E17AA1">
        <w:t>s</w:t>
      </w:r>
      <w:r>
        <w:t>.</w:t>
      </w:r>
      <w:r w:rsidRPr="00E17AA1">
        <w:t xml:space="preserve">, </w:t>
      </w:r>
      <w:r>
        <w:t>Eng’g</w:t>
      </w:r>
      <w:r w:rsidRPr="00E17AA1">
        <w:t xml:space="preserve">, </w:t>
      </w:r>
      <w:r>
        <w:t xml:space="preserve">&amp; </w:t>
      </w:r>
      <w:r w:rsidRPr="00E17AA1">
        <w:t>Med</w:t>
      </w:r>
      <w:r>
        <w:t>. 2018)</w:t>
      </w:r>
      <w:r w:rsidRPr="00E17AA1">
        <w:t xml:space="preserve">, </w:t>
      </w:r>
      <w:hyperlink r:id="rId22" w:history="1">
        <w:r w:rsidRPr="00C74FAA">
          <w:rPr>
            <w:rStyle w:val="Hyperlink"/>
          </w:rPr>
          <w:t>https://www.ncbi.nlm.nih.gov/books/NBK507171/pdf/Bookshelf_NBK507171.pdf</w:t>
        </w:r>
      </w:hyperlink>
      <w:r>
        <w:t xml:space="preserve">; </w:t>
      </w:r>
      <w:r>
        <w:rPr>
          <w:rStyle w:val="HTMLCite"/>
          <w:rFonts w:cs="Arial"/>
          <w:i w:val="0"/>
          <w:iCs w:val="0"/>
        </w:rPr>
        <w:t>Soha Talih et al., “</w:t>
      </w:r>
      <w:r w:rsidRPr="00AF27CF">
        <w:rPr>
          <w:rStyle w:val="HTMLCite"/>
          <w:rFonts w:cs="Arial"/>
          <w:i w:val="0"/>
          <w:iCs w:val="0"/>
        </w:rPr>
        <w:t>Transport Phenomena Governing Nicotine Emissions from Electronic Cigarettes: Model Formulation and Experimental Investigation</w:t>
      </w:r>
      <w:r>
        <w:rPr>
          <w:rStyle w:val="HTMLCite"/>
          <w:rFonts w:cs="Arial"/>
          <w:i w:val="0"/>
          <w:iCs w:val="0"/>
        </w:rPr>
        <w:t xml:space="preserve">,” 51 </w:t>
      </w:r>
      <w:r w:rsidRPr="00775AB3">
        <w:rPr>
          <w:rStyle w:val="HTMLCite"/>
          <w:rFonts w:cs="Arial"/>
        </w:rPr>
        <w:t>Aerosol Sci. &amp; Tech.</w:t>
      </w:r>
      <w:r>
        <w:rPr>
          <w:rStyle w:val="HTMLCite"/>
          <w:rFonts w:cs="Arial"/>
          <w:i w:val="0"/>
          <w:iCs w:val="0"/>
        </w:rPr>
        <w:t xml:space="preserve"> 1, 8–13 (2016); Ivan Gene Gillman et al., “</w:t>
      </w:r>
      <w:r w:rsidRPr="00AF27CF">
        <w:rPr>
          <w:rStyle w:val="HTMLCite"/>
          <w:rFonts w:cs="Arial"/>
          <w:i w:val="0"/>
          <w:iCs w:val="0"/>
        </w:rPr>
        <w:t>Effect of</w:t>
      </w:r>
      <w:r w:rsidRPr="00967519">
        <w:rPr>
          <w:rStyle w:val="HTMLCite"/>
          <w:rFonts w:cs="Arial"/>
          <w:i w:val="0"/>
          <w:iCs w:val="0"/>
        </w:rPr>
        <w:t xml:space="preserve"> </w:t>
      </w:r>
      <w:r w:rsidRPr="00AF27CF">
        <w:rPr>
          <w:rStyle w:val="HTMLCite"/>
          <w:rFonts w:cs="Arial"/>
          <w:i w:val="0"/>
          <w:iCs w:val="0"/>
        </w:rPr>
        <w:t>Variable Power Levels on the Yield of Total Aerosol Mass and Formation of Aldehydes in E-Cigarette Aerosols</w:t>
      </w:r>
      <w:r>
        <w:rPr>
          <w:rStyle w:val="HTMLCite"/>
          <w:rFonts w:cs="Arial"/>
          <w:i w:val="0"/>
          <w:iCs w:val="0"/>
        </w:rPr>
        <w:t xml:space="preserve">,” 75 </w:t>
      </w:r>
      <w:r w:rsidRPr="00775AB3">
        <w:rPr>
          <w:rStyle w:val="HTMLCite"/>
          <w:rFonts w:cs="Arial"/>
        </w:rPr>
        <w:t>Reg. Toxicology &amp; Pharmacology</w:t>
      </w:r>
      <w:r>
        <w:rPr>
          <w:rStyle w:val="HTMLCite"/>
          <w:rFonts w:cs="Arial"/>
          <w:i w:val="0"/>
          <w:iCs w:val="0"/>
        </w:rPr>
        <w:t xml:space="preserve"> 58, 60 (2016); </w:t>
      </w:r>
      <w:r>
        <w:t xml:space="preserve">Maciej L. Goniewicz et al., “Nicotine Content of Electronic Cigarettes, Its Release in Vapour and Its Consistency Across Batches: Regulatory Implications,” 109 </w:t>
      </w:r>
      <w:r>
        <w:rPr>
          <w:i/>
          <w:iCs/>
        </w:rPr>
        <w:t>Addiction</w:t>
      </w:r>
      <w:r>
        <w:t xml:space="preserve"> 500, 503 (2014)</w:t>
      </w:r>
      <w:r>
        <w:rPr>
          <w:rStyle w:val="HTMLCite"/>
          <w:rFonts w:cs="Arial"/>
          <w:i w:val="0"/>
          <w:iCs w:val="0"/>
        </w:rPr>
        <w:t xml:space="preserve">. Although Gillman et al. describe the amount of total aerosol produced, the same percent range should apply to the amount of nicotine aerosolized, given the homogeneity of constituents throughout a solution. Variability in nicotine delivered by ENDS does not end with nicotine emitted, however; the amount delivered to a user’s bloodstream also depends on user- and product-specific factors. </w:t>
      </w:r>
      <w:r w:rsidRPr="00AF27CF">
        <w:rPr>
          <w:rStyle w:val="HTMLCite"/>
          <w:rFonts w:cs="Arial"/>
          <w:i w:val="0"/>
          <w:iCs w:val="0"/>
        </w:rPr>
        <w:t xml:space="preserve">See generally </w:t>
      </w:r>
      <w:r>
        <w:t>Schroeder &amp; Hoffman, “</w:t>
      </w:r>
      <w:r w:rsidRPr="00AF27CF">
        <w:t>Electronic Cigarettes and Nicotine Clinical Pharmacology</w:t>
      </w:r>
      <w:r>
        <w:t>.”</w:t>
      </w:r>
    </w:p>
  </w:footnote>
  <w:footnote w:id="34">
    <w:p w14:paraId="7FC7A107" w14:textId="6CC9B588" w:rsidR="003C4794" w:rsidRPr="002365ED" w:rsidRDefault="003C4794" w:rsidP="00A87398">
      <w:pPr>
        <w:pStyle w:val="FootnoteText"/>
      </w:pPr>
      <w:r>
        <w:rPr>
          <w:rStyle w:val="FootnoteReference"/>
        </w:rPr>
        <w:footnoteRef/>
      </w:r>
      <w:r>
        <w:t xml:space="preserve"> Stratton et al., </w:t>
      </w:r>
      <w:r w:rsidRPr="00E17AA1">
        <w:t>Public Health Consequences of E-Cigarettes 89</w:t>
      </w:r>
      <w:r>
        <w:t xml:space="preserve">–92; </w:t>
      </w:r>
      <w:r>
        <w:t xml:space="preserve">Goniewicz et al., “Nicotine Content of Electronic Cigarettes,” 109 </w:t>
      </w:r>
      <w:r>
        <w:rPr>
          <w:i/>
          <w:iCs/>
        </w:rPr>
        <w:t>Addiction</w:t>
      </w:r>
      <w:r>
        <w:t xml:space="preserve"> at 502.</w:t>
      </w:r>
    </w:p>
  </w:footnote>
  <w:footnote w:id="35">
    <w:p w14:paraId="1B816DF7" w14:textId="07FE2313" w:rsidR="003C4794" w:rsidRPr="00967519" w:rsidRDefault="003C4794" w:rsidP="00A87398">
      <w:pPr>
        <w:pStyle w:val="FootnoteText"/>
      </w:pPr>
      <w:r>
        <w:rPr>
          <w:rStyle w:val="FootnoteReference"/>
        </w:rPr>
        <w:footnoteRef/>
      </w:r>
      <w:r>
        <w:rPr>
          <w:rStyle w:val="HTMLCite"/>
          <w:rFonts w:cs="Arial"/>
          <w:i w:val="0"/>
          <w:iCs w:val="0"/>
        </w:rPr>
        <w:t xml:space="preserve"> With respect to the proposal to equate CBD to combustible cigarettes based on daily use, even the CBD-dosage figures provided by the commenter present a range that is so wide (20–1,500 mg/day) as to render the commenter’s focus on the average essentially meaningless. Moreover, the scholarly article referenced in the commenter’s popular source does not discuss whether these dosages are representative of therapeutic practice; rather, they are characterized only as quantities that have been shown to be tolerated by humans from a safety perspective. Kerstin </w:t>
      </w:r>
      <w:r>
        <w:rPr>
          <w:rStyle w:val="HTMLCite"/>
          <w:rFonts w:cs="Arial"/>
          <w:i w:val="0"/>
          <w:iCs w:val="0"/>
        </w:rPr>
        <w:t>Iffland &amp; Franjo Grotenhermen, “</w:t>
      </w:r>
      <w:r w:rsidRPr="00AF27CF">
        <w:rPr>
          <w:rStyle w:val="HTMLCite"/>
          <w:rFonts w:cs="Arial"/>
          <w:i w:val="0"/>
          <w:iCs w:val="0"/>
        </w:rPr>
        <w:t>An Update on Safety and Side Effects of Cannabidiol: A Review of Clinical Data and Relevant Animal Studies</w:t>
      </w:r>
      <w:r>
        <w:rPr>
          <w:rStyle w:val="HTMLCite"/>
          <w:rFonts w:cs="Arial"/>
          <w:i w:val="0"/>
          <w:iCs w:val="0"/>
        </w:rPr>
        <w:t>,” 2 </w:t>
      </w:r>
      <w:r w:rsidRPr="00775AB3">
        <w:rPr>
          <w:rStyle w:val="HTMLCite"/>
          <w:rFonts w:cs="Arial"/>
        </w:rPr>
        <w:t>Cannabis &amp; Cannabinoid Research</w:t>
      </w:r>
      <w:r w:rsidRPr="00DE6BDE">
        <w:rPr>
          <w:rStyle w:val="HTMLCite"/>
          <w:rFonts w:cs="Arial"/>
          <w:i w:val="0"/>
          <w:iCs w:val="0"/>
          <w:smallCaps/>
        </w:rPr>
        <w:t xml:space="preserve"> </w:t>
      </w:r>
      <w:r>
        <w:rPr>
          <w:rStyle w:val="HTMLCite"/>
          <w:rFonts w:cs="Arial"/>
          <w:i w:val="0"/>
          <w:iCs w:val="0"/>
        </w:rPr>
        <w:t xml:space="preserve">139, 140 (2017), </w:t>
      </w:r>
      <w:hyperlink r:id="rId23" w:history="1">
        <w:r w:rsidRPr="00694196">
          <w:rPr>
            <w:rStyle w:val="Hyperlink"/>
            <w:rFonts w:cs="Arial"/>
          </w:rPr>
          <w:t>https://go.usa.gov/x6cWG</w:t>
        </w:r>
      </w:hyperlink>
      <w:r>
        <w:rPr>
          <w:rStyle w:val="HTMLCite"/>
          <w:rFonts w:cs="Arial"/>
          <w:i w:val="0"/>
          <w:iCs w:val="0"/>
        </w:rPr>
        <w:t xml:space="preserve">, </w:t>
      </w:r>
      <w:r w:rsidRPr="00AF27CF">
        <w:rPr>
          <w:rStyle w:val="HTMLCite"/>
          <w:rFonts w:cs="Arial"/>
          <w:i w:val="0"/>
          <w:iCs w:val="0"/>
        </w:rPr>
        <w:t>cited in</w:t>
      </w:r>
      <w:r>
        <w:rPr>
          <w:rStyle w:val="HTMLCite"/>
          <w:rFonts w:cs="Arial"/>
          <w:i w:val="0"/>
          <w:iCs w:val="0"/>
        </w:rPr>
        <w:t xml:space="preserve"> </w:t>
      </w:r>
      <w:r>
        <w:t>Ferguson, “</w:t>
      </w:r>
      <w:r w:rsidRPr="00AF27CF">
        <w:t>CBD Dosage</w:t>
      </w:r>
      <w:r>
        <w:rPr>
          <w:rStyle w:val="HTMLCite"/>
          <w:rFonts w:cs="Arial"/>
          <w:i w:val="0"/>
          <w:iCs w:val="0"/>
        </w:rPr>
        <w:t>.”</w:t>
      </w:r>
    </w:p>
  </w:footnote>
  <w:footnote w:id="36">
    <w:p w14:paraId="32451151" w14:textId="06EC4613" w:rsidR="003C4794" w:rsidRDefault="003C4794" w:rsidP="00A87398">
      <w:pPr>
        <w:pStyle w:val="FootnoteText"/>
      </w:pPr>
      <w:r>
        <w:rPr>
          <w:rStyle w:val="FootnoteReference"/>
        </w:rPr>
        <w:footnoteRef/>
      </w:r>
      <w:r>
        <w:t xml:space="preserve"> One requirement is specifically </w:t>
      </w:r>
      <w:r>
        <w:t>excepted in the statute. Moreover, it is also reasonable to construe the Internal Revenue Code permit requirement as inapplicable to Federal regulatory agencies, given Congress’s clear intent that they be eligible to mail under the Public Health exception notwithstanding their ineligibility for such permits.</w:t>
      </w:r>
    </w:p>
  </w:footnote>
  <w:footnote w:id="37">
    <w:p w14:paraId="4D76DEBB" w14:textId="30E7AEB2" w:rsidR="003C4794" w:rsidRPr="006D63DD" w:rsidRDefault="003C4794" w:rsidP="00A87398">
      <w:pPr>
        <w:pStyle w:val="FootnoteText"/>
      </w:pPr>
      <w:r>
        <w:rPr>
          <w:rStyle w:val="FootnoteReference"/>
        </w:rPr>
        <w:footnoteRef/>
      </w:r>
      <w:r>
        <w:t xml:space="preserve"> Regarding one commenter’s comparison to 18 U.S.C. 1716(c)–(e) as a suggested basis for decoupling the Consumer Testing and Public Health exceptions vis-à-vis their applicability to ENDS products, the comparison is inapt. First, that statute is distinct from the PACT Act, which expressly provides that the same requirements apply to activities conducted under the Consumer Testing and Public Health exceptions. Second, 18 U.S.C. 1716(c)–(e) expressly confer discretion upon the Postal Service over the mailability of dangerous items for scientific purposes; the PACT Act does not provide such discretion. Third, 18 U.S.C. 1716(c)–(e) do not concern the mailing of otherwise nonmailable items to individuals, as the Consumer Testing and Public Health exceptions do; rather, the mailings covered by those provisions are more analogous to mailings under the PACT Act’s Business/Regulatory Purposes exception. </w:t>
      </w:r>
      <w:r w:rsidRPr="00EE7581">
        <w:t>See</w:t>
      </w:r>
      <w:r>
        <w:t xml:space="preserve"> 18 U.S.C. 1716(c) (shipments of live scorpions “to be used for purposes of medical research or for the manufacture of antivenom”</w:t>
      </w:r>
      <w:r>
        <w:t xml:space="preserve">); </w:t>
      </w:r>
      <w:r>
        <w:rPr>
          <w:i/>
          <w:iCs/>
        </w:rPr>
        <w:t>id.</w:t>
      </w:r>
      <w:r>
        <w:t xml:space="preserve"> at (d) (shipments of poisonous drugs and medicines from manufacturers or dealers to licensed medical professionals); </w:t>
      </w:r>
      <w:r>
        <w:rPr>
          <w:i/>
          <w:iCs/>
        </w:rPr>
        <w:t>id.</w:t>
      </w:r>
      <w:r>
        <w:t xml:space="preserve"> at (e) (shipments of poisons for scientific use between manufacturers, dealers, laboratories, and Federal, State, or local government agencies).</w:t>
      </w:r>
    </w:p>
  </w:footnote>
  <w:footnote w:id="38">
    <w:p w14:paraId="0D53D47D" w14:textId="5FD2828D" w:rsidR="003C4794" w:rsidRPr="003A4F3A" w:rsidRDefault="003C4794">
      <w:pPr>
        <w:pStyle w:val="FootnoteText"/>
      </w:pPr>
      <w:r>
        <w:rPr>
          <w:rStyle w:val="FootnoteReference"/>
        </w:rPr>
        <w:footnoteRef/>
      </w:r>
      <w:r>
        <w:t xml:space="preserve"> Under the Certain Individuals exception, the Postal Service is not itself required to perform the age verification, so long as it duly transfers the items to MPSA. 18 U.S.C. 1716E(b)(4)(B)(ii)(VI). However, the age-verification requirement remains, pursuant to a standalone condition that MPSA would be obliged to fulfill. </w:t>
      </w:r>
      <w:r>
        <w:rPr>
          <w:i/>
          <w:iCs/>
        </w:rPr>
        <w:t>Id.</w:t>
      </w:r>
      <w:r>
        <w:t xml:space="preserve"> at (b)(4)(B)(ii)(V).</w:t>
      </w:r>
    </w:p>
  </w:footnote>
  <w:footnote w:id="39">
    <w:p w14:paraId="0D31E2A1" w14:textId="06CF7CD2" w:rsidR="003C4794" w:rsidRDefault="003C4794">
      <w:pPr>
        <w:pStyle w:val="FootnoteText"/>
      </w:pPr>
      <w:r>
        <w:rPr>
          <w:rStyle w:val="FootnoteReference"/>
        </w:rPr>
        <w:footnoteRef/>
      </w:r>
      <w:r>
        <w:t xml:space="preserve"> The Postal Service recognizes that the FDA uses the term “covered tobacco product” in reference to ENDS products subject to FDA regulation as “deemed” tobacco products. See 21 CFR 1140.3. As discussed in section III.C.1, the scope of such FDA-regulated ENDS products differs from the scope of PACT Act–covered products. Given the explicit definitions in each set of regulations and the differing regulatory contexts, the Postal Service is confident that readers of Publication 52 chapter 47 will understand “covered products” to mean products covered by that chapter and the PACT Act, and not “covered tobacco products” for purposes of 21 CFR Part 1140.</w:t>
      </w:r>
    </w:p>
  </w:footnote>
  <w:footnote w:id="40">
    <w:p w14:paraId="7E09B9E5" w14:textId="77777777" w:rsidR="003C4794" w:rsidRDefault="003C4794" w:rsidP="00A87398">
      <w:pPr>
        <w:pStyle w:val="FootnoteText"/>
      </w:pPr>
      <w:r>
        <w:rPr>
          <w:rStyle w:val="FootnoteReference"/>
        </w:rPr>
        <w:footnoteRef/>
      </w:r>
      <w:r>
        <w:t xml:space="preserve"> The PACT Act conditions use of the Consumer Testing and Public Health exceptions on delivery only to the named recipient. See 18 U.S.C. 1716E(b)(5)(A), (b)(5)(C)(ii)(VI)–(VII). This condition can be fulfilled via the use of Adult Signature Restricted Delivery, which restricts delivery to the named addressee, but not Adult Signature Required, which does not.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8FFD6" w14:textId="77777777" w:rsidR="003C4794" w:rsidRDefault="003C4794" w:rsidP="00F64E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B7E19" w14:textId="77777777" w:rsidR="003C4794" w:rsidRDefault="003C4794" w:rsidP="003639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380EB" w14:textId="77777777" w:rsidR="003C4794" w:rsidRDefault="003C4794" w:rsidP="00384E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1A457FFB" w14:textId="77777777" w:rsidR="003C4794" w:rsidRDefault="003C4794" w:rsidP="003639B8">
    <w:pPr>
      <w:pStyle w:val="Header"/>
      <w:ind w:right="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EF8B" w14:textId="77777777" w:rsidR="003C4794" w:rsidRDefault="003C4794">
    <w:pPr>
      <w:pStyle w:val="Header"/>
    </w:pPr>
    <w:r>
      <w:tab/>
    </w:r>
    <w:r>
      <w:tab/>
      <w:t>7710-12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82582"/>
    <w:multiLevelType w:val="hybridMultilevel"/>
    <w:tmpl w:val="3AA8A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17EA5"/>
    <w:multiLevelType w:val="hybridMultilevel"/>
    <w:tmpl w:val="865E56D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50683"/>
    <w:multiLevelType w:val="multilevel"/>
    <w:tmpl w:val="1C183CCC"/>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3" w15:restartNumberingAfterBreak="0">
    <w:nsid w:val="11133176"/>
    <w:multiLevelType w:val="hybridMultilevel"/>
    <w:tmpl w:val="CF360168"/>
    <w:lvl w:ilvl="0" w:tplc="43265FA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F650C"/>
    <w:multiLevelType w:val="multilevel"/>
    <w:tmpl w:val="A95A923E"/>
    <w:lvl w:ilvl="0">
      <w:start w:val="4"/>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1E217EFC"/>
    <w:multiLevelType w:val="multilevel"/>
    <w:tmpl w:val="7EFE353A"/>
    <w:lvl w:ilvl="0">
      <w:start w:val="6"/>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29CB092F"/>
    <w:multiLevelType w:val="multilevel"/>
    <w:tmpl w:val="424825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BBA4314"/>
    <w:multiLevelType w:val="hybridMultilevel"/>
    <w:tmpl w:val="66346BF4"/>
    <w:lvl w:ilvl="0" w:tplc="FC607EC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04B28"/>
    <w:multiLevelType w:val="multilevel"/>
    <w:tmpl w:val="7EFE353A"/>
    <w:lvl w:ilvl="0">
      <w:start w:val="6"/>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E33276A"/>
    <w:multiLevelType w:val="hybridMultilevel"/>
    <w:tmpl w:val="A596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46297"/>
    <w:multiLevelType w:val="multilevel"/>
    <w:tmpl w:val="1F8CB6FC"/>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40B178DE"/>
    <w:multiLevelType w:val="multilevel"/>
    <w:tmpl w:val="3DBCCD4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36257E8"/>
    <w:multiLevelType w:val="multilevel"/>
    <w:tmpl w:val="6E2871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382267F"/>
    <w:multiLevelType w:val="multilevel"/>
    <w:tmpl w:val="0A967F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451151D"/>
    <w:multiLevelType w:val="multilevel"/>
    <w:tmpl w:val="43CAEE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AE4425C"/>
    <w:multiLevelType w:val="multilevel"/>
    <w:tmpl w:val="1C22B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C7C0847"/>
    <w:multiLevelType w:val="hybridMultilevel"/>
    <w:tmpl w:val="6D968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E024D"/>
    <w:multiLevelType w:val="hybridMultilevel"/>
    <w:tmpl w:val="EB42C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2747E1"/>
    <w:multiLevelType w:val="hybridMultilevel"/>
    <w:tmpl w:val="A58C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09174E"/>
    <w:multiLevelType w:val="multilevel"/>
    <w:tmpl w:val="14AC6492"/>
    <w:lvl w:ilvl="0">
      <w:start w:val="5"/>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55D1018A"/>
    <w:multiLevelType w:val="multilevel"/>
    <w:tmpl w:val="4D88C61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77D22B8"/>
    <w:multiLevelType w:val="multilevel"/>
    <w:tmpl w:val="7EFE353A"/>
    <w:lvl w:ilvl="0">
      <w:start w:val="6"/>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57871AAD"/>
    <w:multiLevelType w:val="multilevel"/>
    <w:tmpl w:val="41D600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7153FF"/>
    <w:multiLevelType w:val="multilevel"/>
    <w:tmpl w:val="B1CEDE90"/>
    <w:lvl w:ilvl="0">
      <w:start w:val="1"/>
      <w:numFmt w:val="lowerLetter"/>
      <w:lvlText w:val="%1."/>
      <w:lvlJc w:val="left"/>
      <w:pPr>
        <w:tabs>
          <w:tab w:val="num" w:pos="540"/>
        </w:tabs>
        <w:ind w:left="54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06E338A"/>
    <w:multiLevelType w:val="multilevel"/>
    <w:tmpl w:val="C2FE2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5931192"/>
    <w:multiLevelType w:val="multilevel"/>
    <w:tmpl w:val="6DB412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0322ED"/>
    <w:multiLevelType w:val="hybridMultilevel"/>
    <w:tmpl w:val="1B260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2A6612"/>
    <w:multiLevelType w:val="hybridMultilevel"/>
    <w:tmpl w:val="781C2CC6"/>
    <w:lvl w:ilvl="0" w:tplc="AC6419AA">
      <w:start w:val="1"/>
      <w:numFmt w:val="upperRoman"/>
      <w:pStyle w:val="Heading1"/>
      <w:lvlText w:val="%1."/>
      <w:lvlJc w:val="left"/>
      <w:pPr>
        <w:ind w:left="720" w:hanging="720"/>
      </w:pPr>
      <w:rPr>
        <w:rFonts w:hint="default"/>
      </w:rPr>
    </w:lvl>
    <w:lvl w:ilvl="1" w:tplc="F0383B1A">
      <w:start w:val="1"/>
      <w:numFmt w:val="upperLetter"/>
      <w:pStyle w:val="Heading2"/>
      <w:lvlText w:val="%2."/>
      <w:lvlJc w:val="left"/>
      <w:pPr>
        <w:ind w:left="1080" w:hanging="360"/>
      </w:pPr>
    </w:lvl>
    <w:lvl w:ilvl="2" w:tplc="E0CCAAE2">
      <w:start w:val="1"/>
      <w:numFmt w:val="decimal"/>
      <w:pStyle w:val="Heading3"/>
      <w:lvlText w:val="%3."/>
      <w:lvlJc w:val="left"/>
      <w:pPr>
        <w:ind w:left="1800" w:hanging="180"/>
      </w:pPr>
    </w:lvl>
    <w:lvl w:ilvl="3" w:tplc="0409000F">
      <w:start w:val="1"/>
      <w:numFmt w:val="decimal"/>
      <w:lvlText w:val="%4."/>
      <w:lvlJc w:val="left"/>
      <w:pPr>
        <w:ind w:left="2520" w:hanging="360"/>
      </w:pPr>
    </w:lvl>
    <w:lvl w:ilvl="4" w:tplc="FA6EF3A6">
      <w:start w:val="1"/>
      <w:numFmt w:val="lowerRoman"/>
      <w:pStyle w:val="Heading4"/>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570A10"/>
    <w:multiLevelType w:val="multilevel"/>
    <w:tmpl w:val="D76E5972"/>
    <w:lvl w:ilvl="0">
      <w:start w:val="10"/>
      <w:numFmt w:val="lowerLetter"/>
      <w:lvlText w:val="%1."/>
      <w:lvlJc w:val="left"/>
      <w:pPr>
        <w:tabs>
          <w:tab w:val="num" w:pos="540"/>
        </w:tabs>
        <w:ind w:left="54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
  </w:num>
  <w:num w:numId="2">
    <w:abstractNumId w:val="27"/>
  </w:num>
  <w:num w:numId="3">
    <w:abstractNumId w:val="3"/>
  </w:num>
  <w:num w:numId="4">
    <w:abstractNumId w:val="0"/>
  </w:num>
  <w:num w:numId="5">
    <w:abstractNumId w:val="18"/>
  </w:num>
  <w:num w:numId="6">
    <w:abstractNumId w:val="17"/>
  </w:num>
  <w:num w:numId="7">
    <w:abstractNumId w:val="9"/>
  </w:num>
  <w:num w:numId="8">
    <w:abstractNumId w:val="12"/>
  </w:num>
  <w:num w:numId="9">
    <w:abstractNumId w:val="14"/>
  </w:num>
  <w:num w:numId="10">
    <w:abstractNumId w:val="6"/>
  </w:num>
  <w:num w:numId="11">
    <w:abstractNumId w:val="11"/>
  </w:num>
  <w:num w:numId="12">
    <w:abstractNumId w:val="22"/>
  </w:num>
  <w:num w:numId="13">
    <w:abstractNumId w:val="13"/>
  </w:num>
  <w:num w:numId="14">
    <w:abstractNumId w:val="15"/>
  </w:num>
  <w:num w:numId="15">
    <w:abstractNumId w:val="2"/>
  </w:num>
  <w:num w:numId="16">
    <w:abstractNumId w:val="24"/>
  </w:num>
  <w:num w:numId="17">
    <w:abstractNumId w:val="20"/>
  </w:num>
  <w:num w:numId="18">
    <w:abstractNumId w:val="25"/>
  </w:num>
  <w:num w:numId="19">
    <w:abstractNumId w:val="7"/>
  </w:num>
  <w:num w:numId="20">
    <w:abstractNumId w:val="4"/>
  </w:num>
  <w:num w:numId="21">
    <w:abstractNumId w:val="23"/>
  </w:num>
  <w:num w:numId="22">
    <w:abstractNumId w:val="10"/>
  </w:num>
  <w:num w:numId="23">
    <w:abstractNumId w:val="19"/>
  </w:num>
  <w:num w:numId="24">
    <w:abstractNumId w:val="28"/>
  </w:num>
  <w:num w:numId="25">
    <w:abstractNumId w:val="8"/>
  </w:num>
  <w:num w:numId="26">
    <w:abstractNumId w:val="16"/>
  </w:num>
  <w:num w:numId="27">
    <w:abstractNumId w:val="21"/>
  </w:num>
  <w:num w:numId="28">
    <w:abstractNumId w:val="5"/>
  </w:num>
  <w:num w:numId="2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44"/>
    <w:rsid w:val="0000005D"/>
    <w:rsid w:val="0000047F"/>
    <w:rsid w:val="0000075C"/>
    <w:rsid w:val="0000097E"/>
    <w:rsid w:val="000009CE"/>
    <w:rsid w:val="00000E9E"/>
    <w:rsid w:val="000016FA"/>
    <w:rsid w:val="0000181E"/>
    <w:rsid w:val="0000267F"/>
    <w:rsid w:val="00002EF4"/>
    <w:rsid w:val="000034C5"/>
    <w:rsid w:val="00003730"/>
    <w:rsid w:val="00003ABD"/>
    <w:rsid w:val="00003CFF"/>
    <w:rsid w:val="0000410E"/>
    <w:rsid w:val="0000518C"/>
    <w:rsid w:val="00005718"/>
    <w:rsid w:val="00005AE4"/>
    <w:rsid w:val="00005B4A"/>
    <w:rsid w:val="000060CD"/>
    <w:rsid w:val="000063F9"/>
    <w:rsid w:val="00006552"/>
    <w:rsid w:val="00006716"/>
    <w:rsid w:val="00006DEE"/>
    <w:rsid w:val="0000717E"/>
    <w:rsid w:val="00007541"/>
    <w:rsid w:val="00007B56"/>
    <w:rsid w:val="0001068B"/>
    <w:rsid w:val="00010C7E"/>
    <w:rsid w:val="00010E3A"/>
    <w:rsid w:val="00011187"/>
    <w:rsid w:val="00011260"/>
    <w:rsid w:val="000114BD"/>
    <w:rsid w:val="00011950"/>
    <w:rsid w:val="00012674"/>
    <w:rsid w:val="00012DC3"/>
    <w:rsid w:val="00012E4F"/>
    <w:rsid w:val="000130C8"/>
    <w:rsid w:val="00013154"/>
    <w:rsid w:val="00013585"/>
    <w:rsid w:val="00013A39"/>
    <w:rsid w:val="00013BAF"/>
    <w:rsid w:val="00013BFC"/>
    <w:rsid w:val="000143FF"/>
    <w:rsid w:val="000149A1"/>
    <w:rsid w:val="00014A3D"/>
    <w:rsid w:val="00016516"/>
    <w:rsid w:val="0001690A"/>
    <w:rsid w:val="000176BF"/>
    <w:rsid w:val="000176FE"/>
    <w:rsid w:val="00017EC3"/>
    <w:rsid w:val="000203B1"/>
    <w:rsid w:val="0002040A"/>
    <w:rsid w:val="00020468"/>
    <w:rsid w:val="00020663"/>
    <w:rsid w:val="000206F2"/>
    <w:rsid w:val="00020C47"/>
    <w:rsid w:val="000213F5"/>
    <w:rsid w:val="000214AB"/>
    <w:rsid w:val="000226CE"/>
    <w:rsid w:val="000228FD"/>
    <w:rsid w:val="00022921"/>
    <w:rsid w:val="00022AAD"/>
    <w:rsid w:val="00022B2E"/>
    <w:rsid w:val="00022D0B"/>
    <w:rsid w:val="000238E5"/>
    <w:rsid w:val="00023982"/>
    <w:rsid w:val="00023A05"/>
    <w:rsid w:val="00023A6F"/>
    <w:rsid w:val="00023B62"/>
    <w:rsid w:val="00023F46"/>
    <w:rsid w:val="00024205"/>
    <w:rsid w:val="0002442F"/>
    <w:rsid w:val="000251DE"/>
    <w:rsid w:val="00025264"/>
    <w:rsid w:val="000258C7"/>
    <w:rsid w:val="00025E4C"/>
    <w:rsid w:val="00025ED8"/>
    <w:rsid w:val="000264B8"/>
    <w:rsid w:val="00026CF7"/>
    <w:rsid w:val="0002799D"/>
    <w:rsid w:val="00027CA3"/>
    <w:rsid w:val="00027F9F"/>
    <w:rsid w:val="000308C0"/>
    <w:rsid w:val="0003092A"/>
    <w:rsid w:val="00030A86"/>
    <w:rsid w:val="00031407"/>
    <w:rsid w:val="0003183E"/>
    <w:rsid w:val="00032602"/>
    <w:rsid w:val="000332CA"/>
    <w:rsid w:val="00033323"/>
    <w:rsid w:val="000334A1"/>
    <w:rsid w:val="000344B2"/>
    <w:rsid w:val="00034C4D"/>
    <w:rsid w:val="00034E8F"/>
    <w:rsid w:val="00035402"/>
    <w:rsid w:val="00035AE7"/>
    <w:rsid w:val="00035DEC"/>
    <w:rsid w:val="000360C1"/>
    <w:rsid w:val="00036760"/>
    <w:rsid w:val="000367FE"/>
    <w:rsid w:val="00036BA8"/>
    <w:rsid w:val="00036CCF"/>
    <w:rsid w:val="00036EEF"/>
    <w:rsid w:val="00037654"/>
    <w:rsid w:val="00037C28"/>
    <w:rsid w:val="00037D12"/>
    <w:rsid w:val="0004031E"/>
    <w:rsid w:val="00040619"/>
    <w:rsid w:val="00041667"/>
    <w:rsid w:val="0004219F"/>
    <w:rsid w:val="00042ADB"/>
    <w:rsid w:val="00044368"/>
    <w:rsid w:val="000444B5"/>
    <w:rsid w:val="000445B4"/>
    <w:rsid w:val="00045652"/>
    <w:rsid w:val="00045C3B"/>
    <w:rsid w:val="00045DC6"/>
    <w:rsid w:val="000472FE"/>
    <w:rsid w:val="000475E1"/>
    <w:rsid w:val="00047813"/>
    <w:rsid w:val="0005143E"/>
    <w:rsid w:val="00051F38"/>
    <w:rsid w:val="00051F94"/>
    <w:rsid w:val="0005211F"/>
    <w:rsid w:val="0005226C"/>
    <w:rsid w:val="00052530"/>
    <w:rsid w:val="0005276A"/>
    <w:rsid w:val="00052824"/>
    <w:rsid w:val="000529D6"/>
    <w:rsid w:val="0005300D"/>
    <w:rsid w:val="000532BF"/>
    <w:rsid w:val="00053C01"/>
    <w:rsid w:val="00053D6C"/>
    <w:rsid w:val="00053FA4"/>
    <w:rsid w:val="000544DB"/>
    <w:rsid w:val="00054564"/>
    <w:rsid w:val="000545A9"/>
    <w:rsid w:val="000545EC"/>
    <w:rsid w:val="000563B5"/>
    <w:rsid w:val="00056A73"/>
    <w:rsid w:val="00056C23"/>
    <w:rsid w:val="00056CD7"/>
    <w:rsid w:val="00056D30"/>
    <w:rsid w:val="0005759C"/>
    <w:rsid w:val="00057FF0"/>
    <w:rsid w:val="0006022C"/>
    <w:rsid w:val="00060C9E"/>
    <w:rsid w:val="0006111F"/>
    <w:rsid w:val="00061853"/>
    <w:rsid w:val="00061B53"/>
    <w:rsid w:val="00061D2E"/>
    <w:rsid w:val="00062C65"/>
    <w:rsid w:val="00063151"/>
    <w:rsid w:val="0006339A"/>
    <w:rsid w:val="00064283"/>
    <w:rsid w:val="00064F36"/>
    <w:rsid w:val="0006515C"/>
    <w:rsid w:val="00065B78"/>
    <w:rsid w:val="00065D5C"/>
    <w:rsid w:val="00065F9C"/>
    <w:rsid w:val="00065FE1"/>
    <w:rsid w:val="0006611B"/>
    <w:rsid w:val="00066D1C"/>
    <w:rsid w:val="000675BE"/>
    <w:rsid w:val="0006764C"/>
    <w:rsid w:val="00067F85"/>
    <w:rsid w:val="000705C0"/>
    <w:rsid w:val="00070DC4"/>
    <w:rsid w:val="000713E9"/>
    <w:rsid w:val="00071CAC"/>
    <w:rsid w:val="00071D61"/>
    <w:rsid w:val="000720B0"/>
    <w:rsid w:val="000722DD"/>
    <w:rsid w:val="00073202"/>
    <w:rsid w:val="00073EEA"/>
    <w:rsid w:val="000749B1"/>
    <w:rsid w:val="00075533"/>
    <w:rsid w:val="0007584C"/>
    <w:rsid w:val="00076047"/>
    <w:rsid w:val="00076BF2"/>
    <w:rsid w:val="00076E90"/>
    <w:rsid w:val="000770D2"/>
    <w:rsid w:val="000775B1"/>
    <w:rsid w:val="00077E19"/>
    <w:rsid w:val="00077F3D"/>
    <w:rsid w:val="00080C6D"/>
    <w:rsid w:val="0008171E"/>
    <w:rsid w:val="0008179F"/>
    <w:rsid w:val="00081B18"/>
    <w:rsid w:val="00081B25"/>
    <w:rsid w:val="00081C10"/>
    <w:rsid w:val="00081DFB"/>
    <w:rsid w:val="000822C7"/>
    <w:rsid w:val="00082C23"/>
    <w:rsid w:val="00083613"/>
    <w:rsid w:val="000841DD"/>
    <w:rsid w:val="00084334"/>
    <w:rsid w:val="000856B0"/>
    <w:rsid w:val="00085B7C"/>
    <w:rsid w:val="00085EA2"/>
    <w:rsid w:val="000863D5"/>
    <w:rsid w:val="00086622"/>
    <w:rsid w:val="000869A9"/>
    <w:rsid w:val="00086D8D"/>
    <w:rsid w:val="00087005"/>
    <w:rsid w:val="00087DE7"/>
    <w:rsid w:val="00087F4F"/>
    <w:rsid w:val="0009084E"/>
    <w:rsid w:val="000908DE"/>
    <w:rsid w:val="00090B52"/>
    <w:rsid w:val="000914F3"/>
    <w:rsid w:val="00091852"/>
    <w:rsid w:val="00091973"/>
    <w:rsid w:val="00091E4E"/>
    <w:rsid w:val="00093169"/>
    <w:rsid w:val="000932BD"/>
    <w:rsid w:val="000940CC"/>
    <w:rsid w:val="00094429"/>
    <w:rsid w:val="0009443A"/>
    <w:rsid w:val="000945D9"/>
    <w:rsid w:val="0009477E"/>
    <w:rsid w:val="000951E2"/>
    <w:rsid w:val="00095288"/>
    <w:rsid w:val="00095F5E"/>
    <w:rsid w:val="0009604E"/>
    <w:rsid w:val="000966E7"/>
    <w:rsid w:val="00096A3E"/>
    <w:rsid w:val="00096E58"/>
    <w:rsid w:val="00096EE0"/>
    <w:rsid w:val="000972D6"/>
    <w:rsid w:val="000973B0"/>
    <w:rsid w:val="0009798C"/>
    <w:rsid w:val="00097B7D"/>
    <w:rsid w:val="000A00B0"/>
    <w:rsid w:val="000A0A80"/>
    <w:rsid w:val="000A0C96"/>
    <w:rsid w:val="000A1065"/>
    <w:rsid w:val="000A1296"/>
    <w:rsid w:val="000A1340"/>
    <w:rsid w:val="000A1407"/>
    <w:rsid w:val="000A155C"/>
    <w:rsid w:val="000A16A2"/>
    <w:rsid w:val="000A1FEF"/>
    <w:rsid w:val="000A2594"/>
    <w:rsid w:val="000A290B"/>
    <w:rsid w:val="000A3476"/>
    <w:rsid w:val="000A349E"/>
    <w:rsid w:val="000A3D24"/>
    <w:rsid w:val="000A3EE4"/>
    <w:rsid w:val="000A4164"/>
    <w:rsid w:val="000A41A3"/>
    <w:rsid w:val="000A43DA"/>
    <w:rsid w:val="000A5276"/>
    <w:rsid w:val="000A532C"/>
    <w:rsid w:val="000A5CEC"/>
    <w:rsid w:val="000A6604"/>
    <w:rsid w:val="000A6901"/>
    <w:rsid w:val="000A695E"/>
    <w:rsid w:val="000A7732"/>
    <w:rsid w:val="000A7ED4"/>
    <w:rsid w:val="000B0006"/>
    <w:rsid w:val="000B0360"/>
    <w:rsid w:val="000B0F3C"/>
    <w:rsid w:val="000B142E"/>
    <w:rsid w:val="000B181F"/>
    <w:rsid w:val="000B1EBC"/>
    <w:rsid w:val="000B24C3"/>
    <w:rsid w:val="000B2C7B"/>
    <w:rsid w:val="000B2D37"/>
    <w:rsid w:val="000B3A5F"/>
    <w:rsid w:val="000B40A2"/>
    <w:rsid w:val="000B469A"/>
    <w:rsid w:val="000B471B"/>
    <w:rsid w:val="000B4B62"/>
    <w:rsid w:val="000B6871"/>
    <w:rsid w:val="000B6F42"/>
    <w:rsid w:val="000B7788"/>
    <w:rsid w:val="000B7F19"/>
    <w:rsid w:val="000C0360"/>
    <w:rsid w:val="000C0AB9"/>
    <w:rsid w:val="000C0EFB"/>
    <w:rsid w:val="000C10D8"/>
    <w:rsid w:val="000C1A03"/>
    <w:rsid w:val="000C1A12"/>
    <w:rsid w:val="000C1D05"/>
    <w:rsid w:val="000C1F69"/>
    <w:rsid w:val="000C230E"/>
    <w:rsid w:val="000C242F"/>
    <w:rsid w:val="000C2C95"/>
    <w:rsid w:val="000C2EEC"/>
    <w:rsid w:val="000C2FF4"/>
    <w:rsid w:val="000C306F"/>
    <w:rsid w:val="000C3B85"/>
    <w:rsid w:val="000C3BCA"/>
    <w:rsid w:val="000C3C1B"/>
    <w:rsid w:val="000C437B"/>
    <w:rsid w:val="000C4DCB"/>
    <w:rsid w:val="000C507B"/>
    <w:rsid w:val="000C50A9"/>
    <w:rsid w:val="000C5C04"/>
    <w:rsid w:val="000C5F46"/>
    <w:rsid w:val="000C6052"/>
    <w:rsid w:val="000C60EE"/>
    <w:rsid w:val="000C6A9A"/>
    <w:rsid w:val="000C6DFD"/>
    <w:rsid w:val="000C735D"/>
    <w:rsid w:val="000C7912"/>
    <w:rsid w:val="000C7CFF"/>
    <w:rsid w:val="000C7FA5"/>
    <w:rsid w:val="000D0167"/>
    <w:rsid w:val="000D0663"/>
    <w:rsid w:val="000D0EB9"/>
    <w:rsid w:val="000D0F09"/>
    <w:rsid w:val="000D12D0"/>
    <w:rsid w:val="000D270C"/>
    <w:rsid w:val="000D2A47"/>
    <w:rsid w:val="000D2E34"/>
    <w:rsid w:val="000D3386"/>
    <w:rsid w:val="000D36D9"/>
    <w:rsid w:val="000D3757"/>
    <w:rsid w:val="000D38E0"/>
    <w:rsid w:val="000D3A79"/>
    <w:rsid w:val="000D493A"/>
    <w:rsid w:val="000D49D4"/>
    <w:rsid w:val="000D4B5B"/>
    <w:rsid w:val="000D4CFF"/>
    <w:rsid w:val="000D4DA4"/>
    <w:rsid w:val="000D5571"/>
    <w:rsid w:val="000D5B66"/>
    <w:rsid w:val="000D6266"/>
    <w:rsid w:val="000D68BC"/>
    <w:rsid w:val="000D6A24"/>
    <w:rsid w:val="000D7305"/>
    <w:rsid w:val="000D793F"/>
    <w:rsid w:val="000E049A"/>
    <w:rsid w:val="000E0E42"/>
    <w:rsid w:val="000E1265"/>
    <w:rsid w:val="000E1761"/>
    <w:rsid w:val="000E201E"/>
    <w:rsid w:val="000E2650"/>
    <w:rsid w:val="000E279C"/>
    <w:rsid w:val="000E2B14"/>
    <w:rsid w:val="000E2B2C"/>
    <w:rsid w:val="000E2F25"/>
    <w:rsid w:val="000E30DA"/>
    <w:rsid w:val="000E3116"/>
    <w:rsid w:val="000E38FD"/>
    <w:rsid w:val="000E39D3"/>
    <w:rsid w:val="000E4C5F"/>
    <w:rsid w:val="000E51F0"/>
    <w:rsid w:val="000E5AFF"/>
    <w:rsid w:val="000E64D2"/>
    <w:rsid w:val="000E668F"/>
    <w:rsid w:val="000E6884"/>
    <w:rsid w:val="000E6E0B"/>
    <w:rsid w:val="000E7045"/>
    <w:rsid w:val="000E70EC"/>
    <w:rsid w:val="000E7BBE"/>
    <w:rsid w:val="000F010F"/>
    <w:rsid w:val="000F01F8"/>
    <w:rsid w:val="000F0446"/>
    <w:rsid w:val="000F0BCB"/>
    <w:rsid w:val="000F118F"/>
    <w:rsid w:val="000F11E1"/>
    <w:rsid w:val="000F2253"/>
    <w:rsid w:val="000F2299"/>
    <w:rsid w:val="000F2E19"/>
    <w:rsid w:val="000F3317"/>
    <w:rsid w:val="000F34E3"/>
    <w:rsid w:val="000F48D3"/>
    <w:rsid w:val="000F5A10"/>
    <w:rsid w:val="000F5ADC"/>
    <w:rsid w:val="000F5C7D"/>
    <w:rsid w:val="000F5D08"/>
    <w:rsid w:val="000F5F1B"/>
    <w:rsid w:val="000F6837"/>
    <w:rsid w:val="000F6A20"/>
    <w:rsid w:val="000F6D70"/>
    <w:rsid w:val="000F7511"/>
    <w:rsid w:val="000F763E"/>
    <w:rsid w:val="000F78CA"/>
    <w:rsid w:val="00100210"/>
    <w:rsid w:val="001002DE"/>
    <w:rsid w:val="00100A58"/>
    <w:rsid w:val="001013F8"/>
    <w:rsid w:val="00101797"/>
    <w:rsid w:val="00102EFC"/>
    <w:rsid w:val="00103B5E"/>
    <w:rsid w:val="00103D3A"/>
    <w:rsid w:val="001048B5"/>
    <w:rsid w:val="0010531D"/>
    <w:rsid w:val="00105368"/>
    <w:rsid w:val="001069EA"/>
    <w:rsid w:val="0010738A"/>
    <w:rsid w:val="00107608"/>
    <w:rsid w:val="001077EA"/>
    <w:rsid w:val="00107B42"/>
    <w:rsid w:val="00107C81"/>
    <w:rsid w:val="0011058A"/>
    <w:rsid w:val="001111A6"/>
    <w:rsid w:val="0011172E"/>
    <w:rsid w:val="00111F52"/>
    <w:rsid w:val="001124CB"/>
    <w:rsid w:val="00112A27"/>
    <w:rsid w:val="00113734"/>
    <w:rsid w:val="001142A0"/>
    <w:rsid w:val="00114E75"/>
    <w:rsid w:val="00115183"/>
    <w:rsid w:val="00115239"/>
    <w:rsid w:val="0011553C"/>
    <w:rsid w:val="001155D1"/>
    <w:rsid w:val="001156D0"/>
    <w:rsid w:val="00116329"/>
    <w:rsid w:val="001179FF"/>
    <w:rsid w:val="00120052"/>
    <w:rsid w:val="00121BFA"/>
    <w:rsid w:val="00123102"/>
    <w:rsid w:val="00123F4E"/>
    <w:rsid w:val="00123FE7"/>
    <w:rsid w:val="0012405E"/>
    <w:rsid w:val="0012410D"/>
    <w:rsid w:val="00124B01"/>
    <w:rsid w:val="00124C9B"/>
    <w:rsid w:val="00124E26"/>
    <w:rsid w:val="00125729"/>
    <w:rsid w:val="00125AA5"/>
    <w:rsid w:val="00125B2F"/>
    <w:rsid w:val="00125DEF"/>
    <w:rsid w:val="00126635"/>
    <w:rsid w:val="00126745"/>
    <w:rsid w:val="00127123"/>
    <w:rsid w:val="001276E5"/>
    <w:rsid w:val="00127CB8"/>
    <w:rsid w:val="00130138"/>
    <w:rsid w:val="00130164"/>
    <w:rsid w:val="001308CE"/>
    <w:rsid w:val="00130907"/>
    <w:rsid w:val="00130CE7"/>
    <w:rsid w:val="001317E8"/>
    <w:rsid w:val="00131978"/>
    <w:rsid w:val="00131BF3"/>
    <w:rsid w:val="00132152"/>
    <w:rsid w:val="0013222A"/>
    <w:rsid w:val="00132680"/>
    <w:rsid w:val="001327D1"/>
    <w:rsid w:val="00133F65"/>
    <w:rsid w:val="0013405A"/>
    <w:rsid w:val="00134652"/>
    <w:rsid w:val="00135F87"/>
    <w:rsid w:val="00135FD7"/>
    <w:rsid w:val="001366F2"/>
    <w:rsid w:val="00137721"/>
    <w:rsid w:val="0014004F"/>
    <w:rsid w:val="00140325"/>
    <w:rsid w:val="001407E2"/>
    <w:rsid w:val="00141057"/>
    <w:rsid w:val="0014146A"/>
    <w:rsid w:val="0014156E"/>
    <w:rsid w:val="00141890"/>
    <w:rsid w:val="0014192D"/>
    <w:rsid w:val="00141CC7"/>
    <w:rsid w:val="001420D7"/>
    <w:rsid w:val="001426AD"/>
    <w:rsid w:val="00143376"/>
    <w:rsid w:val="00143D26"/>
    <w:rsid w:val="00143F82"/>
    <w:rsid w:val="001441CE"/>
    <w:rsid w:val="001442FD"/>
    <w:rsid w:val="001444A4"/>
    <w:rsid w:val="00144722"/>
    <w:rsid w:val="00144DCB"/>
    <w:rsid w:val="0014572D"/>
    <w:rsid w:val="0014611E"/>
    <w:rsid w:val="001462DF"/>
    <w:rsid w:val="0014637D"/>
    <w:rsid w:val="001463B7"/>
    <w:rsid w:val="0014652F"/>
    <w:rsid w:val="001470C3"/>
    <w:rsid w:val="00147141"/>
    <w:rsid w:val="00147EE1"/>
    <w:rsid w:val="00147EE6"/>
    <w:rsid w:val="001504D6"/>
    <w:rsid w:val="00150AED"/>
    <w:rsid w:val="00150D51"/>
    <w:rsid w:val="00151455"/>
    <w:rsid w:val="001516EF"/>
    <w:rsid w:val="00151718"/>
    <w:rsid w:val="001518E7"/>
    <w:rsid w:val="0015201F"/>
    <w:rsid w:val="001520BB"/>
    <w:rsid w:val="00152600"/>
    <w:rsid w:val="001526C6"/>
    <w:rsid w:val="00152C05"/>
    <w:rsid w:val="0015354D"/>
    <w:rsid w:val="00153CE7"/>
    <w:rsid w:val="001543F0"/>
    <w:rsid w:val="00154E19"/>
    <w:rsid w:val="00155040"/>
    <w:rsid w:val="00155E38"/>
    <w:rsid w:val="00156006"/>
    <w:rsid w:val="00156131"/>
    <w:rsid w:val="0015672B"/>
    <w:rsid w:val="00156747"/>
    <w:rsid w:val="00156D60"/>
    <w:rsid w:val="0015713D"/>
    <w:rsid w:val="00157BA7"/>
    <w:rsid w:val="00157D7D"/>
    <w:rsid w:val="001600CB"/>
    <w:rsid w:val="001602EA"/>
    <w:rsid w:val="0016075B"/>
    <w:rsid w:val="001609D9"/>
    <w:rsid w:val="0016114D"/>
    <w:rsid w:val="00161366"/>
    <w:rsid w:val="001619C9"/>
    <w:rsid w:val="0016204B"/>
    <w:rsid w:val="00162129"/>
    <w:rsid w:val="001622ED"/>
    <w:rsid w:val="001622F8"/>
    <w:rsid w:val="00163633"/>
    <w:rsid w:val="001639C5"/>
    <w:rsid w:val="00164CE2"/>
    <w:rsid w:val="00165032"/>
    <w:rsid w:val="001653EF"/>
    <w:rsid w:val="0016594C"/>
    <w:rsid w:val="001659C5"/>
    <w:rsid w:val="001660EF"/>
    <w:rsid w:val="00166427"/>
    <w:rsid w:val="00166976"/>
    <w:rsid w:val="001670E4"/>
    <w:rsid w:val="00167584"/>
    <w:rsid w:val="001676E3"/>
    <w:rsid w:val="001679E3"/>
    <w:rsid w:val="0017033D"/>
    <w:rsid w:val="00170657"/>
    <w:rsid w:val="00170E62"/>
    <w:rsid w:val="00170EE9"/>
    <w:rsid w:val="001716C1"/>
    <w:rsid w:val="00171736"/>
    <w:rsid w:val="0017184D"/>
    <w:rsid w:val="00171922"/>
    <w:rsid w:val="00172256"/>
    <w:rsid w:val="0017235C"/>
    <w:rsid w:val="00172545"/>
    <w:rsid w:val="00172BB1"/>
    <w:rsid w:val="00172E6A"/>
    <w:rsid w:val="00173F64"/>
    <w:rsid w:val="0017481F"/>
    <w:rsid w:val="00175A14"/>
    <w:rsid w:val="0017634F"/>
    <w:rsid w:val="0017680C"/>
    <w:rsid w:val="00176AB7"/>
    <w:rsid w:val="00176CD0"/>
    <w:rsid w:val="00176EA7"/>
    <w:rsid w:val="001775D0"/>
    <w:rsid w:val="00180240"/>
    <w:rsid w:val="00180487"/>
    <w:rsid w:val="0018099E"/>
    <w:rsid w:val="00181852"/>
    <w:rsid w:val="00181AD3"/>
    <w:rsid w:val="00181B76"/>
    <w:rsid w:val="0018211B"/>
    <w:rsid w:val="00182CFF"/>
    <w:rsid w:val="0018345F"/>
    <w:rsid w:val="00183EA2"/>
    <w:rsid w:val="00184158"/>
    <w:rsid w:val="00184373"/>
    <w:rsid w:val="00184CED"/>
    <w:rsid w:val="001851FF"/>
    <w:rsid w:val="00185539"/>
    <w:rsid w:val="00185830"/>
    <w:rsid w:val="00185DC3"/>
    <w:rsid w:val="00186016"/>
    <w:rsid w:val="00186852"/>
    <w:rsid w:val="00186995"/>
    <w:rsid w:val="00186B11"/>
    <w:rsid w:val="001903C2"/>
    <w:rsid w:val="00190979"/>
    <w:rsid w:val="00190FA1"/>
    <w:rsid w:val="00191858"/>
    <w:rsid w:val="00191BBC"/>
    <w:rsid w:val="001920A1"/>
    <w:rsid w:val="00192996"/>
    <w:rsid w:val="00192E59"/>
    <w:rsid w:val="001931E5"/>
    <w:rsid w:val="001939AC"/>
    <w:rsid w:val="001946E3"/>
    <w:rsid w:val="00195AB4"/>
    <w:rsid w:val="00195E9F"/>
    <w:rsid w:val="001960D4"/>
    <w:rsid w:val="0019617D"/>
    <w:rsid w:val="00196438"/>
    <w:rsid w:val="00196E15"/>
    <w:rsid w:val="00197021"/>
    <w:rsid w:val="00197038"/>
    <w:rsid w:val="0019715A"/>
    <w:rsid w:val="0019768B"/>
    <w:rsid w:val="001A0136"/>
    <w:rsid w:val="001A05E0"/>
    <w:rsid w:val="001A0996"/>
    <w:rsid w:val="001A1157"/>
    <w:rsid w:val="001A1F55"/>
    <w:rsid w:val="001A229A"/>
    <w:rsid w:val="001A2786"/>
    <w:rsid w:val="001A35F9"/>
    <w:rsid w:val="001A4B36"/>
    <w:rsid w:val="001A582B"/>
    <w:rsid w:val="001A61F7"/>
    <w:rsid w:val="001A62AA"/>
    <w:rsid w:val="001A6DB3"/>
    <w:rsid w:val="001A6E68"/>
    <w:rsid w:val="001A7577"/>
    <w:rsid w:val="001A7FD0"/>
    <w:rsid w:val="001B0826"/>
    <w:rsid w:val="001B09D2"/>
    <w:rsid w:val="001B1545"/>
    <w:rsid w:val="001B1A77"/>
    <w:rsid w:val="001B1B16"/>
    <w:rsid w:val="001B1F6F"/>
    <w:rsid w:val="001B220F"/>
    <w:rsid w:val="001B2B8F"/>
    <w:rsid w:val="001B2C81"/>
    <w:rsid w:val="001B2DBA"/>
    <w:rsid w:val="001B374A"/>
    <w:rsid w:val="001B3D16"/>
    <w:rsid w:val="001B4023"/>
    <w:rsid w:val="001B4701"/>
    <w:rsid w:val="001B49FD"/>
    <w:rsid w:val="001B4BF4"/>
    <w:rsid w:val="001B4D73"/>
    <w:rsid w:val="001B5235"/>
    <w:rsid w:val="001B52CE"/>
    <w:rsid w:val="001B6500"/>
    <w:rsid w:val="001B675B"/>
    <w:rsid w:val="001B6B7B"/>
    <w:rsid w:val="001B6DCD"/>
    <w:rsid w:val="001B7A27"/>
    <w:rsid w:val="001B7E84"/>
    <w:rsid w:val="001C02E9"/>
    <w:rsid w:val="001C0C8D"/>
    <w:rsid w:val="001C12DD"/>
    <w:rsid w:val="001C13D5"/>
    <w:rsid w:val="001C1963"/>
    <w:rsid w:val="001C269B"/>
    <w:rsid w:val="001C298B"/>
    <w:rsid w:val="001C2C54"/>
    <w:rsid w:val="001C2CF7"/>
    <w:rsid w:val="001C2D1B"/>
    <w:rsid w:val="001C2DF5"/>
    <w:rsid w:val="001C350E"/>
    <w:rsid w:val="001C3A5B"/>
    <w:rsid w:val="001C42BC"/>
    <w:rsid w:val="001C42CC"/>
    <w:rsid w:val="001C4B28"/>
    <w:rsid w:val="001C4CBE"/>
    <w:rsid w:val="001C4EEE"/>
    <w:rsid w:val="001C53FF"/>
    <w:rsid w:val="001C544E"/>
    <w:rsid w:val="001C5769"/>
    <w:rsid w:val="001C6415"/>
    <w:rsid w:val="001C7324"/>
    <w:rsid w:val="001C7480"/>
    <w:rsid w:val="001C7D62"/>
    <w:rsid w:val="001D0780"/>
    <w:rsid w:val="001D0B2B"/>
    <w:rsid w:val="001D0FAB"/>
    <w:rsid w:val="001D1C08"/>
    <w:rsid w:val="001D2240"/>
    <w:rsid w:val="001D332E"/>
    <w:rsid w:val="001D3876"/>
    <w:rsid w:val="001D3B84"/>
    <w:rsid w:val="001D468D"/>
    <w:rsid w:val="001D4691"/>
    <w:rsid w:val="001D46FB"/>
    <w:rsid w:val="001D47DD"/>
    <w:rsid w:val="001D4BBA"/>
    <w:rsid w:val="001D4E6A"/>
    <w:rsid w:val="001D52CC"/>
    <w:rsid w:val="001D55B6"/>
    <w:rsid w:val="001D5731"/>
    <w:rsid w:val="001D587D"/>
    <w:rsid w:val="001D7080"/>
    <w:rsid w:val="001D773D"/>
    <w:rsid w:val="001D7F8C"/>
    <w:rsid w:val="001E0022"/>
    <w:rsid w:val="001E106C"/>
    <w:rsid w:val="001E1D16"/>
    <w:rsid w:val="001E1E54"/>
    <w:rsid w:val="001E2089"/>
    <w:rsid w:val="001E21A1"/>
    <w:rsid w:val="001E242E"/>
    <w:rsid w:val="001E322C"/>
    <w:rsid w:val="001E37B3"/>
    <w:rsid w:val="001E38C0"/>
    <w:rsid w:val="001E3F8A"/>
    <w:rsid w:val="001E432C"/>
    <w:rsid w:val="001E479F"/>
    <w:rsid w:val="001E4C0C"/>
    <w:rsid w:val="001E5B2F"/>
    <w:rsid w:val="001E6870"/>
    <w:rsid w:val="001E74C4"/>
    <w:rsid w:val="001E7B8C"/>
    <w:rsid w:val="001F046C"/>
    <w:rsid w:val="001F0B61"/>
    <w:rsid w:val="001F0B77"/>
    <w:rsid w:val="001F0B8E"/>
    <w:rsid w:val="001F0C75"/>
    <w:rsid w:val="001F0F30"/>
    <w:rsid w:val="001F0F68"/>
    <w:rsid w:val="001F12CA"/>
    <w:rsid w:val="001F12FE"/>
    <w:rsid w:val="001F2088"/>
    <w:rsid w:val="001F20B9"/>
    <w:rsid w:val="001F2D7E"/>
    <w:rsid w:val="001F2EE7"/>
    <w:rsid w:val="001F3722"/>
    <w:rsid w:val="001F3772"/>
    <w:rsid w:val="001F3B04"/>
    <w:rsid w:val="001F3B19"/>
    <w:rsid w:val="001F3D93"/>
    <w:rsid w:val="001F40E7"/>
    <w:rsid w:val="001F5120"/>
    <w:rsid w:val="001F5421"/>
    <w:rsid w:val="001F5A23"/>
    <w:rsid w:val="001F5CD9"/>
    <w:rsid w:val="001F5EE1"/>
    <w:rsid w:val="001F6B3D"/>
    <w:rsid w:val="001F6F58"/>
    <w:rsid w:val="001F7280"/>
    <w:rsid w:val="0020022A"/>
    <w:rsid w:val="002005C0"/>
    <w:rsid w:val="002009FE"/>
    <w:rsid w:val="00200A20"/>
    <w:rsid w:val="00201795"/>
    <w:rsid w:val="002020D3"/>
    <w:rsid w:val="002037AA"/>
    <w:rsid w:val="00203914"/>
    <w:rsid w:val="00204068"/>
    <w:rsid w:val="002044D9"/>
    <w:rsid w:val="00204A13"/>
    <w:rsid w:val="00204D85"/>
    <w:rsid w:val="00204F5C"/>
    <w:rsid w:val="00204FB6"/>
    <w:rsid w:val="00205523"/>
    <w:rsid w:val="002057BA"/>
    <w:rsid w:val="00206282"/>
    <w:rsid w:val="00206455"/>
    <w:rsid w:val="00206871"/>
    <w:rsid w:val="00206B2D"/>
    <w:rsid w:val="00207AB1"/>
    <w:rsid w:val="00210422"/>
    <w:rsid w:val="00210F49"/>
    <w:rsid w:val="00211186"/>
    <w:rsid w:val="00211216"/>
    <w:rsid w:val="00211A95"/>
    <w:rsid w:val="00211DD8"/>
    <w:rsid w:val="00212042"/>
    <w:rsid w:val="0021208B"/>
    <w:rsid w:val="00212C63"/>
    <w:rsid w:val="00212DE1"/>
    <w:rsid w:val="00212E67"/>
    <w:rsid w:val="0021366B"/>
    <w:rsid w:val="00213855"/>
    <w:rsid w:val="00213DFB"/>
    <w:rsid w:val="00213FD1"/>
    <w:rsid w:val="00214A65"/>
    <w:rsid w:val="00214B99"/>
    <w:rsid w:val="00214D42"/>
    <w:rsid w:val="00214DC5"/>
    <w:rsid w:val="00215415"/>
    <w:rsid w:val="00215AA4"/>
    <w:rsid w:val="00215E72"/>
    <w:rsid w:val="00216112"/>
    <w:rsid w:val="002162B9"/>
    <w:rsid w:val="00216769"/>
    <w:rsid w:val="002167FD"/>
    <w:rsid w:val="002168D2"/>
    <w:rsid w:val="00216B82"/>
    <w:rsid w:val="00217662"/>
    <w:rsid w:val="00217AB2"/>
    <w:rsid w:val="00217D0B"/>
    <w:rsid w:val="0022072C"/>
    <w:rsid w:val="00220AFE"/>
    <w:rsid w:val="00220E15"/>
    <w:rsid w:val="00221007"/>
    <w:rsid w:val="00221019"/>
    <w:rsid w:val="002210DE"/>
    <w:rsid w:val="00221384"/>
    <w:rsid w:val="0022163F"/>
    <w:rsid w:val="00221EF6"/>
    <w:rsid w:val="00222284"/>
    <w:rsid w:val="00222556"/>
    <w:rsid w:val="00222B86"/>
    <w:rsid w:val="00222CEE"/>
    <w:rsid w:val="00223015"/>
    <w:rsid w:val="00224029"/>
    <w:rsid w:val="00224168"/>
    <w:rsid w:val="00224AAB"/>
    <w:rsid w:val="00224BF4"/>
    <w:rsid w:val="00224CBD"/>
    <w:rsid w:val="00224DE8"/>
    <w:rsid w:val="0022519C"/>
    <w:rsid w:val="00225597"/>
    <w:rsid w:val="002257EB"/>
    <w:rsid w:val="00226206"/>
    <w:rsid w:val="002266F9"/>
    <w:rsid w:val="002270F8"/>
    <w:rsid w:val="00230355"/>
    <w:rsid w:val="00230891"/>
    <w:rsid w:val="00230C05"/>
    <w:rsid w:val="00230D16"/>
    <w:rsid w:val="00231550"/>
    <w:rsid w:val="002322C6"/>
    <w:rsid w:val="002322FB"/>
    <w:rsid w:val="002333E3"/>
    <w:rsid w:val="00233493"/>
    <w:rsid w:val="002335D0"/>
    <w:rsid w:val="0023360D"/>
    <w:rsid w:val="00233664"/>
    <w:rsid w:val="0023472C"/>
    <w:rsid w:val="002353CC"/>
    <w:rsid w:val="002357D9"/>
    <w:rsid w:val="002365ED"/>
    <w:rsid w:val="002367E2"/>
    <w:rsid w:val="00236CF5"/>
    <w:rsid w:val="00236F01"/>
    <w:rsid w:val="002376DA"/>
    <w:rsid w:val="0023776B"/>
    <w:rsid w:val="00237DED"/>
    <w:rsid w:val="00237E3D"/>
    <w:rsid w:val="00237EAA"/>
    <w:rsid w:val="002402C4"/>
    <w:rsid w:val="00240440"/>
    <w:rsid w:val="0024077C"/>
    <w:rsid w:val="00240B18"/>
    <w:rsid w:val="00240C17"/>
    <w:rsid w:val="002415F8"/>
    <w:rsid w:val="002419CE"/>
    <w:rsid w:val="00241B97"/>
    <w:rsid w:val="00242862"/>
    <w:rsid w:val="002432D3"/>
    <w:rsid w:val="00243774"/>
    <w:rsid w:val="00244860"/>
    <w:rsid w:val="00244BA6"/>
    <w:rsid w:val="002461EB"/>
    <w:rsid w:val="00246510"/>
    <w:rsid w:val="00246644"/>
    <w:rsid w:val="00246761"/>
    <w:rsid w:val="00246B6E"/>
    <w:rsid w:val="00247490"/>
    <w:rsid w:val="00247B44"/>
    <w:rsid w:val="00250236"/>
    <w:rsid w:val="00250544"/>
    <w:rsid w:val="002505C6"/>
    <w:rsid w:val="00250652"/>
    <w:rsid w:val="002506D2"/>
    <w:rsid w:val="002507C6"/>
    <w:rsid w:val="00250E3F"/>
    <w:rsid w:val="002510BC"/>
    <w:rsid w:val="002520BD"/>
    <w:rsid w:val="002522F4"/>
    <w:rsid w:val="002526B9"/>
    <w:rsid w:val="00253379"/>
    <w:rsid w:val="00253D5C"/>
    <w:rsid w:val="002540D6"/>
    <w:rsid w:val="00254520"/>
    <w:rsid w:val="002565E0"/>
    <w:rsid w:val="0025686A"/>
    <w:rsid w:val="002571C9"/>
    <w:rsid w:val="0025755E"/>
    <w:rsid w:val="00260281"/>
    <w:rsid w:val="00260C8C"/>
    <w:rsid w:val="00261833"/>
    <w:rsid w:val="00261F3D"/>
    <w:rsid w:val="00262029"/>
    <w:rsid w:val="00262338"/>
    <w:rsid w:val="002628B9"/>
    <w:rsid w:val="00262C7D"/>
    <w:rsid w:val="00262C8C"/>
    <w:rsid w:val="00262F12"/>
    <w:rsid w:val="00263445"/>
    <w:rsid w:val="00263622"/>
    <w:rsid w:val="00263C85"/>
    <w:rsid w:val="00264498"/>
    <w:rsid w:val="0026652C"/>
    <w:rsid w:val="00266DA8"/>
    <w:rsid w:val="00267418"/>
    <w:rsid w:val="0027003D"/>
    <w:rsid w:val="002701EF"/>
    <w:rsid w:val="002703EC"/>
    <w:rsid w:val="002706BA"/>
    <w:rsid w:val="00271BD8"/>
    <w:rsid w:val="00271DC0"/>
    <w:rsid w:val="002721B4"/>
    <w:rsid w:val="00272E7E"/>
    <w:rsid w:val="00273C4B"/>
    <w:rsid w:val="00274B94"/>
    <w:rsid w:val="00274F1D"/>
    <w:rsid w:val="00275394"/>
    <w:rsid w:val="00275462"/>
    <w:rsid w:val="0027568F"/>
    <w:rsid w:val="0027619B"/>
    <w:rsid w:val="00277128"/>
    <w:rsid w:val="0027715E"/>
    <w:rsid w:val="00277623"/>
    <w:rsid w:val="00277BC0"/>
    <w:rsid w:val="00277C53"/>
    <w:rsid w:val="00277FCE"/>
    <w:rsid w:val="00280A00"/>
    <w:rsid w:val="00280C15"/>
    <w:rsid w:val="00280C1D"/>
    <w:rsid w:val="0028127E"/>
    <w:rsid w:val="00281727"/>
    <w:rsid w:val="0028173E"/>
    <w:rsid w:val="00281971"/>
    <w:rsid w:val="0028253E"/>
    <w:rsid w:val="00283B33"/>
    <w:rsid w:val="00283C4C"/>
    <w:rsid w:val="00283E1E"/>
    <w:rsid w:val="00283FB1"/>
    <w:rsid w:val="00284BD4"/>
    <w:rsid w:val="00284DEE"/>
    <w:rsid w:val="00284E38"/>
    <w:rsid w:val="00284FD9"/>
    <w:rsid w:val="00285576"/>
    <w:rsid w:val="00285FB0"/>
    <w:rsid w:val="002863DC"/>
    <w:rsid w:val="002875CA"/>
    <w:rsid w:val="002877B2"/>
    <w:rsid w:val="00287EB6"/>
    <w:rsid w:val="00290296"/>
    <w:rsid w:val="002904F9"/>
    <w:rsid w:val="00290D39"/>
    <w:rsid w:val="002914A8"/>
    <w:rsid w:val="00292023"/>
    <w:rsid w:val="0029318E"/>
    <w:rsid w:val="002936C2"/>
    <w:rsid w:val="0029454E"/>
    <w:rsid w:val="002951AF"/>
    <w:rsid w:val="00295BF2"/>
    <w:rsid w:val="00295F92"/>
    <w:rsid w:val="00296258"/>
    <w:rsid w:val="00296533"/>
    <w:rsid w:val="002972F6"/>
    <w:rsid w:val="00297F66"/>
    <w:rsid w:val="002A034F"/>
    <w:rsid w:val="002A04F1"/>
    <w:rsid w:val="002A0B7B"/>
    <w:rsid w:val="002A0BA9"/>
    <w:rsid w:val="002A0C33"/>
    <w:rsid w:val="002A10C9"/>
    <w:rsid w:val="002A1D2D"/>
    <w:rsid w:val="002A31A5"/>
    <w:rsid w:val="002A346E"/>
    <w:rsid w:val="002A3BA2"/>
    <w:rsid w:val="002A59B8"/>
    <w:rsid w:val="002A5B30"/>
    <w:rsid w:val="002A5E86"/>
    <w:rsid w:val="002A5EF7"/>
    <w:rsid w:val="002A5FC4"/>
    <w:rsid w:val="002A6475"/>
    <w:rsid w:val="002A6630"/>
    <w:rsid w:val="002A6C25"/>
    <w:rsid w:val="002A6D18"/>
    <w:rsid w:val="002A706C"/>
    <w:rsid w:val="002A722A"/>
    <w:rsid w:val="002A725A"/>
    <w:rsid w:val="002A7441"/>
    <w:rsid w:val="002A7505"/>
    <w:rsid w:val="002A7753"/>
    <w:rsid w:val="002A7F63"/>
    <w:rsid w:val="002B06DD"/>
    <w:rsid w:val="002B074F"/>
    <w:rsid w:val="002B1449"/>
    <w:rsid w:val="002B188D"/>
    <w:rsid w:val="002B1F99"/>
    <w:rsid w:val="002B230E"/>
    <w:rsid w:val="002B26CC"/>
    <w:rsid w:val="002B2E6E"/>
    <w:rsid w:val="002B3BD7"/>
    <w:rsid w:val="002B539E"/>
    <w:rsid w:val="002B58AA"/>
    <w:rsid w:val="002B5B0C"/>
    <w:rsid w:val="002B6EA0"/>
    <w:rsid w:val="002B6F6A"/>
    <w:rsid w:val="002B720B"/>
    <w:rsid w:val="002C02AF"/>
    <w:rsid w:val="002C0751"/>
    <w:rsid w:val="002C1332"/>
    <w:rsid w:val="002C1633"/>
    <w:rsid w:val="002C1C07"/>
    <w:rsid w:val="002C1CAB"/>
    <w:rsid w:val="002C20D4"/>
    <w:rsid w:val="002C26E7"/>
    <w:rsid w:val="002C2749"/>
    <w:rsid w:val="002C2871"/>
    <w:rsid w:val="002C386C"/>
    <w:rsid w:val="002C3B14"/>
    <w:rsid w:val="002C3BBD"/>
    <w:rsid w:val="002C4EAF"/>
    <w:rsid w:val="002C55B0"/>
    <w:rsid w:val="002C6802"/>
    <w:rsid w:val="002C6CA8"/>
    <w:rsid w:val="002C721A"/>
    <w:rsid w:val="002C763D"/>
    <w:rsid w:val="002C78C1"/>
    <w:rsid w:val="002C7D8B"/>
    <w:rsid w:val="002D032D"/>
    <w:rsid w:val="002D0987"/>
    <w:rsid w:val="002D0CE9"/>
    <w:rsid w:val="002D15FA"/>
    <w:rsid w:val="002D1F55"/>
    <w:rsid w:val="002D1F9A"/>
    <w:rsid w:val="002D1FBA"/>
    <w:rsid w:val="002D2303"/>
    <w:rsid w:val="002D281A"/>
    <w:rsid w:val="002D2A89"/>
    <w:rsid w:val="002D2B41"/>
    <w:rsid w:val="002D3056"/>
    <w:rsid w:val="002D3896"/>
    <w:rsid w:val="002D3BCF"/>
    <w:rsid w:val="002D4164"/>
    <w:rsid w:val="002D4EAF"/>
    <w:rsid w:val="002D61B1"/>
    <w:rsid w:val="002D6241"/>
    <w:rsid w:val="002D66D3"/>
    <w:rsid w:val="002D7AFD"/>
    <w:rsid w:val="002E0428"/>
    <w:rsid w:val="002E05BB"/>
    <w:rsid w:val="002E147A"/>
    <w:rsid w:val="002E1A7F"/>
    <w:rsid w:val="002E1F47"/>
    <w:rsid w:val="002E265D"/>
    <w:rsid w:val="002E2C4C"/>
    <w:rsid w:val="002E2C96"/>
    <w:rsid w:val="002E2CF6"/>
    <w:rsid w:val="002E2E5B"/>
    <w:rsid w:val="002E37E7"/>
    <w:rsid w:val="002E3AD3"/>
    <w:rsid w:val="002E4DDE"/>
    <w:rsid w:val="002E4E22"/>
    <w:rsid w:val="002E4FF1"/>
    <w:rsid w:val="002E562D"/>
    <w:rsid w:val="002E59FD"/>
    <w:rsid w:val="002E5A77"/>
    <w:rsid w:val="002E5F95"/>
    <w:rsid w:val="002E6A7D"/>
    <w:rsid w:val="002E6DE6"/>
    <w:rsid w:val="002E6F3F"/>
    <w:rsid w:val="002E727B"/>
    <w:rsid w:val="002E79EB"/>
    <w:rsid w:val="002E7D2A"/>
    <w:rsid w:val="002F01FB"/>
    <w:rsid w:val="002F06EB"/>
    <w:rsid w:val="002F0D24"/>
    <w:rsid w:val="002F0DEC"/>
    <w:rsid w:val="002F1902"/>
    <w:rsid w:val="002F299F"/>
    <w:rsid w:val="002F2AEB"/>
    <w:rsid w:val="002F33C6"/>
    <w:rsid w:val="002F3477"/>
    <w:rsid w:val="002F3836"/>
    <w:rsid w:val="002F3912"/>
    <w:rsid w:val="002F39FE"/>
    <w:rsid w:val="002F3CC1"/>
    <w:rsid w:val="002F40EC"/>
    <w:rsid w:val="002F415E"/>
    <w:rsid w:val="002F434D"/>
    <w:rsid w:val="002F4AC2"/>
    <w:rsid w:val="002F4C3D"/>
    <w:rsid w:val="002F58C7"/>
    <w:rsid w:val="002F6D42"/>
    <w:rsid w:val="002F763B"/>
    <w:rsid w:val="00300282"/>
    <w:rsid w:val="00300D2F"/>
    <w:rsid w:val="00302079"/>
    <w:rsid w:val="00302743"/>
    <w:rsid w:val="003030AD"/>
    <w:rsid w:val="003050FE"/>
    <w:rsid w:val="0030514D"/>
    <w:rsid w:val="003061C6"/>
    <w:rsid w:val="00306638"/>
    <w:rsid w:val="00307889"/>
    <w:rsid w:val="00307DB6"/>
    <w:rsid w:val="003104B8"/>
    <w:rsid w:val="00310BCA"/>
    <w:rsid w:val="00310FFD"/>
    <w:rsid w:val="00311238"/>
    <w:rsid w:val="00312207"/>
    <w:rsid w:val="00312462"/>
    <w:rsid w:val="00312E21"/>
    <w:rsid w:val="00312FE0"/>
    <w:rsid w:val="00313578"/>
    <w:rsid w:val="00314063"/>
    <w:rsid w:val="00314216"/>
    <w:rsid w:val="003147CB"/>
    <w:rsid w:val="00314984"/>
    <w:rsid w:val="00315396"/>
    <w:rsid w:val="00315C22"/>
    <w:rsid w:val="00315E19"/>
    <w:rsid w:val="0031608F"/>
    <w:rsid w:val="0031655A"/>
    <w:rsid w:val="00320161"/>
    <w:rsid w:val="003204A8"/>
    <w:rsid w:val="00320925"/>
    <w:rsid w:val="00320A30"/>
    <w:rsid w:val="00320D4D"/>
    <w:rsid w:val="0032105F"/>
    <w:rsid w:val="0032157A"/>
    <w:rsid w:val="003216C9"/>
    <w:rsid w:val="0032198C"/>
    <w:rsid w:val="003225BD"/>
    <w:rsid w:val="00322949"/>
    <w:rsid w:val="00323060"/>
    <w:rsid w:val="0032348B"/>
    <w:rsid w:val="003236E2"/>
    <w:rsid w:val="00323CBB"/>
    <w:rsid w:val="00323EE0"/>
    <w:rsid w:val="0032400A"/>
    <w:rsid w:val="003242C8"/>
    <w:rsid w:val="0032459F"/>
    <w:rsid w:val="00324732"/>
    <w:rsid w:val="003247E3"/>
    <w:rsid w:val="00324999"/>
    <w:rsid w:val="00324F9E"/>
    <w:rsid w:val="003250A9"/>
    <w:rsid w:val="003251B5"/>
    <w:rsid w:val="00325C9A"/>
    <w:rsid w:val="003263D3"/>
    <w:rsid w:val="00326BA7"/>
    <w:rsid w:val="00326E64"/>
    <w:rsid w:val="00327570"/>
    <w:rsid w:val="00327C35"/>
    <w:rsid w:val="00327DAC"/>
    <w:rsid w:val="0033080F"/>
    <w:rsid w:val="00330DAB"/>
    <w:rsid w:val="00331110"/>
    <w:rsid w:val="00331159"/>
    <w:rsid w:val="00331808"/>
    <w:rsid w:val="00331F19"/>
    <w:rsid w:val="003325B7"/>
    <w:rsid w:val="00333008"/>
    <w:rsid w:val="00333029"/>
    <w:rsid w:val="00333740"/>
    <w:rsid w:val="00333753"/>
    <w:rsid w:val="00333AD5"/>
    <w:rsid w:val="00333BD6"/>
    <w:rsid w:val="00333ED3"/>
    <w:rsid w:val="00333F48"/>
    <w:rsid w:val="0033467E"/>
    <w:rsid w:val="003358FA"/>
    <w:rsid w:val="00335CF6"/>
    <w:rsid w:val="00335E42"/>
    <w:rsid w:val="0033662C"/>
    <w:rsid w:val="00337445"/>
    <w:rsid w:val="003374BB"/>
    <w:rsid w:val="00341479"/>
    <w:rsid w:val="00341B4F"/>
    <w:rsid w:val="00341B79"/>
    <w:rsid w:val="00342321"/>
    <w:rsid w:val="0034258D"/>
    <w:rsid w:val="00342BC9"/>
    <w:rsid w:val="0034305E"/>
    <w:rsid w:val="00343590"/>
    <w:rsid w:val="003435B0"/>
    <w:rsid w:val="00343A19"/>
    <w:rsid w:val="00343DD5"/>
    <w:rsid w:val="003441F7"/>
    <w:rsid w:val="00344232"/>
    <w:rsid w:val="0034449A"/>
    <w:rsid w:val="003444E0"/>
    <w:rsid w:val="00345580"/>
    <w:rsid w:val="0034584C"/>
    <w:rsid w:val="003459C2"/>
    <w:rsid w:val="00345B83"/>
    <w:rsid w:val="00345F96"/>
    <w:rsid w:val="003462D4"/>
    <w:rsid w:val="003464AB"/>
    <w:rsid w:val="003464D7"/>
    <w:rsid w:val="00346633"/>
    <w:rsid w:val="00346E5C"/>
    <w:rsid w:val="00347264"/>
    <w:rsid w:val="00350216"/>
    <w:rsid w:val="0035032B"/>
    <w:rsid w:val="00350596"/>
    <w:rsid w:val="00350639"/>
    <w:rsid w:val="00350808"/>
    <w:rsid w:val="003508B9"/>
    <w:rsid w:val="00350F10"/>
    <w:rsid w:val="003510B5"/>
    <w:rsid w:val="00351281"/>
    <w:rsid w:val="003520D5"/>
    <w:rsid w:val="00352683"/>
    <w:rsid w:val="00352CAB"/>
    <w:rsid w:val="00353A32"/>
    <w:rsid w:val="00353E39"/>
    <w:rsid w:val="00353E7E"/>
    <w:rsid w:val="00354874"/>
    <w:rsid w:val="0035502F"/>
    <w:rsid w:val="003556DE"/>
    <w:rsid w:val="00355AC6"/>
    <w:rsid w:val="00356615"/>
    <w:rsid w:val="003567C5"/>
    <w:rsid w:val="003569D1"/>
    <w:rsid w:val="00356A25"/>
    <w:rsid w:val="00356C08"/>
    <w:rsid w:val="003601DB"/>
    <w:rsid w:val="00360231"/>
    <w:rsid w:val="00360B42"/>
    <w:rsid w:val="00360DAF"/>
    <w:rsid w:val="00361081"/>
    <w:rsid w:val="00361129"/>
    <w:rsid w:val="003611C6"/>
    <w:rsid w:val="00361C6F"/>
    <w:rsid w:val="00361D7D"/>
    <w:rsid w:val="00362B93"/>
    <w:rsid w:val="00362DE5"/>
    <w:rsid w:val="00363035"/>
    <w:rsid w:val="0036377A"/>
    <w:rsid w:val="003637DF"/>
    <w:rsid w:val="003639B8"/>
    <w:rsid w:val="00363B55"/>
    <w:rsid w:val="00363B60"/>
    <w:rsid w:val="003641FD"/>
    <w:rsid w:val="00365471"/>
    <w:rsid w:val="00365B90"/>
    <w:rsid w:val="00365F6F"/>
    <w:rsid w:val="00366077"/>
    <w:rsid w:val="00366AC5"/>
    <w:rsid w:val="00366B08"/>
    <w:rsid w:val="003677FC"/>
    <w:rsid w:val="00370147"/>
    <w:rsid w:val="00370691"/>
    <w:rsid w:val="00370C82"/>
    <w:rsid w:val="00370D6F"/>
    <w:rsid w:val="00371D34"/>
    <w:rsid w:val="00371DE2"/>
    <w:rsid w:val="003726C8"/>
    <w:rsid w:val="00372DB8"/>
    <w:rsid w:val="003739B3"/>
    <w:rsid w:val="00374453"/>
    <w:rsid w:val="00375018"/>
    <w:rsid w:val="00375295"/>
    <w:rsid w:val="0037535D"/>
    <w:rsid w:val="003753C4"/>
    <w:rsid w:val="00375903"/>
    <w:rsid w:val="00375940"/>
    <w:rsid w:val="00375989"/>
    <w:rsid w:val="00376544"/>
    <w:rsid w:val="003767AC"/>
    <w:rsid w:val="003767F6"/>
    <w:rsid w:val="00376F82"/>
    <w:rsid w:val="00377014"/>
    <w:rsid w:val="00377BA1"/>
    <w:rsid w:val="00377C09"/>
    <w:rsid w:val="003810E7"/>
    <w:rsid w:val="003812AE"/>
    <w:rsid w:val="00381437"/>
    <w:rsid w:val="0038177A"/>
    <w:rsid w:val="003819C7"/>
    <w:rsid w:val="00381BC9"/>
    <w:rsid w:val="00381EFE"/>
    <w:rsid w:val="00382100"/>
    <w:rsid w:val="00382F11"/>
    <w:rsid w:val="00382FC4"/>
    <w:rsid w:val="0038383A"/>
    <w:rsid w:val="00383AB5"/>
    <w:rsid w:val="00383B04"/>
    <w:rsid w:val="00383DDB"/>
    <w:rsid w:val="003843FA"/>
    <w:rsid w:val="00384BF7"/>
    <w:rsid w:val="00384E86"/>
    <w:rsid w:val="00384E91"/>
    <w:rsid w:val="00385096"/>
    <w:rsid w:val="003857C2"/>
    <w:rsid w:val="00385A57"/>
    <w:rsid w:val="00386048"/>
    <w:rsid w:val="00386BD7"/>
    <w:rsid w:val="00387B2C"/>
    <w:rsid w:val="00387FFA"/>
    <w:rsid w:val="00390047"/>
    <w:rsid w:val="00390217"/>
    <w:rsid w:val="003907CC"/>
    <w:rsid w:val="00390FD5"/>
    <w:rsid w:val="00391094"/>
    <w:rsid w:val="003917B3"/>
    <w:rsid w:val="003918B5"/>
    <w:rsid w:val="00391D1A"/>
    <w:rsid w:val="00391F4B"/>
    <w:rsid w:val="00392083"/>
    <w:rsid w:val="00392105"/>
    <w:rsid w:val="00392AD5"/>
    <w:rsid w:val="00393284"/>
    <w:rsid w:val="003932F5"/>
    <w:rsid w:val="003933F5"/>
    <w:rsid w:val="00393D0B"/>
    <w:rsid w:val="00394759"/>
    <w:rsid w:val="0039491B"/>
    <w:rsid w:val="00394B3C"/>
    <w:rsid w:val="00394BC5"/>
    <w:rsid w:val="00394C23"/>
    <w:rsid w:val="00395D9A"/>
    <w:rsid w:val="00396C0E"/>
    <w:rsid w:val="003973E0"/>
    <w:rsid w:val="003978DE"/>
    <w:rsid w:val="00397A54"/>
    <w:rsid w:val="00397B92"/>
    <w:rsid w:val="003A0217"/>
    <w:rsid w:val="003A0BFF"/>
    <w:rsid w:val="003A0FCE"/>
    <w:rsid w:val="003A1765"/>
    <w:rsid w:val="003A1EE4"/>
    <w:rsid w:val="003A1EFA"/>
    <w:rsid w:val="003A2291"/>
    <w:rsid w:val="003A2612"/>
    <w:rsid w:val="003A2730"/>
    <w:rsid w:val="003A2865"/>
    <w:rsid w:val="003A2932"/>
    <w:rsid w:val="003A3BBB"/>
    <w:rsid w:val="003A409E"/>
    <w:rsid w:val="003A4251"/>
    <w:rsid w:val="003A455D"/>
    <w:rsid w:val="003A4F3A"/>
    <w:rsid w:val="003A50AF"/>
    <w:rsid w:val="003A54A6"/>
    <w:rsid w:val="003A57E5"/>
    <w:rsid w:val="003A5A13"/>
    <w:rsid w:val="003A5D39"/>
    <w:rsid w:val="003A657D"/>
    <w:rsid w:val="003A6AC9"/>
    <w:rsid w:val="003A744C"/>
    <w:rsid w:val="003A7697"/>
    <w:rsid w:val="003A7B05"/>
    <w:rsid w:val="003A7E63"/>
    <w:rsid w:val="003B0604"/>
    <w:rsid w:val="003B106C"/>
    <w:rsid w:val="003B1111"/>
    <w:rsid w:val="003B14A9"/>
    <w:rsid w:val="003B1794"/>
    <w:rsid w:val="003B22C1"/>
    <w:rsid w:val="003B28D4"/>
    <w:rsid w:val="003B2C38"/>
    <w:rsid w:val="003B2C4B"/>
    <w:rsid w:val="003B3270"/>
    <w:rsid w:val="003B3FC4"/>
    <w:rsid w:val="003B45BA"/>
    <w:rsid w:val="003B4660"/>
    <w:rsid w:val="003B4B30"/>
    <w:rsid w:val="003B4E04"/>
    <w:rsid w:val="003B5A7A"/>
    <w:rsid w:val="003B5EC3"/>
    <w:rsid w:val="003B6A85"/>
    <w:rsid w:val="003B7047"/>
    <w:rsid w:val="003B724A"/>
    <w:rsid w:val="003B787B"/>
    <w:rsid w:val="003C10CE"/>
    <w:rsid w:val="003C10EF"/>
    <w:rsid w:val="003C1826"/>
    <w:rsid w:val="003C1EA0"/>
    <w:rsid w:val="003C2C30"/>
    <w:rsid w:val="003C2DF6"/>
    <w:rsid w:val="003C2E36"/>
    <w:rsid w:val="003C327A"/>
    <w:rsid w:val="003C3280"/>
    <w:rsid w:val="003C38B5"/>
    <w:rsid w:val="003C4281"/>
    <w:rsid w:val="003C4794"/>
    <w:rsid w:val="003C4A51"/>
    <w:rsid w:val="003C4DCF"/>
    <w:rsid w:val="003C4FC7"/>
    <w:rsid w:val="003C53AD"/>
    <w:rsid w:val="003C5468"/>
    <w:rsid w:val="003C59F5"/>
    <w:rsid w:val="003C5D75"/>
    <w:rsid w:val="003C61B5"/>
    <w:rsid w:val="003C6556"/>
    <w:rsid w:val="003C6566"/>
    <w:rsid w:val="003C69C6"/>
    <w:rsid w:val="003C6A8A"/>
    <w:rsid w:val="003C6D71"/>
    <w:rsid w:val="003D0107"/>
    <w:rsid w:val="003D0975"/>
    <w:rsid w:val="003D15EA"/>
    <w:rsid w:val="003D15FC"/>
    <w:rsid w:val="003D1EA6"/>
    <w:rsid w:val="003D2D97"/>
    <w:rsid w:val="003D335E"/>
    <w:rsid w:val="003D3B06"/>
    <w:rsid w:val="003D4911"/>
    <w:rsid w:val="003D4AB1"/>
    <w:rsid w:val="003D546D"/>
    <w:rsid w:val="003D58B5"/>
    <w:rsid w:val="003D5CE7"/>
    <w:rsid w:val="003D61D5"/>
    <w:rsid w:val="003D6B2D"/>
    <w:rsid w:val="003D7D59"/>
    <w:rsid w:val="003E028C"/>
    <w:rsid w:val="003E037A"/>
    <w:rsid w:val="003E0534"/>
    <w:rsid w:val="003E1323"/>
    <w:rsid w:val="003E1324"/>
    <w:rsid w:val="003E17BA"/>
    <w:rsid w:val="003E23CD"/>
    <w:rsid w:val="003E3158"/>
    <w:rsid w:val="003E3390"/>
    <w:rsid w:val="003E3717"/>
    <w:rsid w:val="003E3A62"/>
    <w:rsid w:val="003E3AC0"/>
    <w:rsid w:val="003E3B1A"/>
    <w:rsid w:val="003E4C4E"/>
    <w:rsid w:val="003E4D89"/>
    <w:rsid w:val="003E4E59"/>
    <w:rsid w:val="003E5454"/>
    <w:rsid w:val="003E5BA1"/>
    <w:rsid w:val="003E675F"/>
    <w:rsid w:val="003E6B32"/>
    <w:rsid w:val="003E6C00"/>
    <w:rsid w:val="003E6D30"/>
    <w:rsid w:val="003E6FB2"/>
    <w:rsid w:val="003E758D"/>
    <w:rsid w:val="003E7719"/>
    <w:rsid w:val="003E7882"/>
    <w:rsid w:val="003E7EAF"/>
    <w:rsid w:val="003F0191"/>
    <w:rsid w:val="003F01F8"/>
    <w:rsid w:val="003F0624"/>
    <w:rsid w:val="003F11F2"/>
    <w:rsid w:val="003F1536"/>
    <w:rsid w:val="003F18F4"/>
    <w:rsid w:val="003F1B20"/>
    <w:rsid w:val="003F1E33"/>
    <w:rsid w:val="003F1FE6"/>
    <w:rsid w:val="003F29D7"/>
    <w:rsid w:val="003F2DA1"/>
    <w:rsid w:val="003F319E"/>
    <w:rsid w:val="003F3633"/>
    <w:rsid w:val="003F3A1B"/>
    <w:rsid w:val="003F3A49"/>
    <w:rsid w:val="003F3BB2"/>
    <w:rsid w:val="003F3EE5"/>
    <w:rsid w:val="003F40A8"/>
    <w:rsid w:val="003F441B"/>
    <w:rsid w:val="003F4590"/>
    <w:rsid w:val="003F4ACC"/>
    <w:rsid w:val="003F4E50"/>
    <w:rsid w:val="003F511E"/>
    <w:rsid w:val="003F5378"/>
    <w:rsid w:val="003F54EF"/>
    <w:rsid w:val="003F5532"/>
    <w:rsid w:val="003F5598"/>
    <w:rsid w:val="003F5618"/>
    <w:rsid w:val="003F59B4"/>
    <w:rsid w:val="003F65AA"/>
    <w:rsid w:val="003F6A9E"/>
    <w:rsid w:val="003F71CA"/>
    <w:rsid w:val="003F7519"/>
    <w:rsid w:val="003F7999"/>
    <w:rsid w:val="003F7BE0"/>
    <w:rsid w:val="003F7EBE"/>
    <w:rsid w:val="00400075"/>
    <w:rsid w:val="004000DF"/>
    <w:rsid w:val="004004D5"/>
    <w:rsid w:val="004006D9"/>
    <w:rsid w:val="0040077D"/>
    <w:rsid w:val="00400DE2"/>
    <w:rsid w:val="004011A2"/>
    <w:rsid w:val="00401740"/>
    <w:rsid w:val="00402B8D"/>
    <w:rsid w:val="00402E9F"/>
    <w:rsid w:val="00403857"/>
    <w:rsid w:val="00403977"/>
    <w:rsid w:val="00404B14"/>
    <w:rsid w:val="00405286"/>
    <w:rsid w:val="00406411"/>
    <w:rsid w:val="0040667F"/>
    <w:rsid w:val="00406F47"/>
    <w:rsid w:val="00407278"/>
    <w:rsid w:val="00410919"/>
    <w:rsid w:val="004109A4"/>
    <w:rsid w:val="00410C56"/>
    <w:rsid w:val="00410D95"/>
    <w:rsid w:val="00411B03"/>
    <w:rsid w:val="00412A47"/>
    <w:rsid w:val="00412B01"/>
    <w:rsid w:val="00412DBC"/>
    <w:rsid w:val="004131F5"/>
    <w:rsid w:val="00414169"/>
    <w:rsid w:val="004142EB"/>
    <w:rsid w:val="00414441"/>
    <w:rsid w:val="004146D1"/>
    <w:rsid w:val="00414B95"/>
    <w:rsid w:val="0041564C"/>
    <w:rsid w:val="004156AB"/>
    <w:rsid w:val="00416CC2"/>
    <w:rsid w:val="00416E92"/>
    <w:rsid w:val="00416FAE"/>
    <w:rsid w:val="00417370"/>
    <w:rsid w:val="0041792A"/>
    <w:rsid w:val="00420018"/>
    <w:rsid w:val="0042100D"/>
    <w:rsid w:val="00421C68"/>
    <w:rsid w:val="00421E12"/>
    <w:rsid w:val="00421F06"/>
    <w:rsid w:val="004223E7"/>
    <w:rsid w:val="00423927"/>
    <w:rsid w:val="00423B6E"/>
    <w:rsid w:val="00424067"/>
    <w:rsid w:val="00424A0D"/>
    <w:rsid w:val="00424FB7"/>
    <w:rsid w:val="004256D2"/>
    <w:rsid w:val="00425A52"/>
    <w:rsid w:val="00425D91"/>
    <w:rsid w:val="00426712"/>
    <w:rsid w:val="00426A2B"/>
    <w:rsid w:val="004273CE"/>
    <w:rsid w:val="004276F8"/>
    <w:rsid w:val="0042793F"/>
    <w:rsid w:val="00427DDD"/>
    <w:rsid w:val="004313FE"/>
    <w:rsid w:val="0043153E"/>
    <w:rsid w:val="00431C10"/>
    <w:rsid w:val="0043222E"/>
    <w:rsid w:val="004333AE"/>
    <w:rsid w:val="00434288"/>
    <w:rsid w:val="00434636"/>
    <w:rsid w:val="00434A09"/>
    <w:rsid w:val="00434C6E"/>
    <w:rsid w:val="00434C93"/>
    <w:rsid w:val="00434CD4"/>
    <w:rsid w:val="00434FAF"/>
    <w:rsid w:val="004350F4"/>
    <w:rsid w:val="00435A78"/>
    <w:rsid w:val="00436339"/>
    <w:rsid w:val="00436726"/>
    <w:rsid w:val="00437453"/>
    <w:rsid w:val="00437943"/>
    <w:rsid w:val="00437E42"/>
    <w:rsid w:val="00437F9A"/>
    <w:rsid w:val="0044051A"/>
    <w:rsid w:val="00440E84"/>
    <w:rsid w:val="0044140D"/>
    <w:rsid w:val="004418D8"/>
    <w:rsid w:val="00441F86"/>
    <w:rsid w:val="004423B1"/>
    <w:rsid w:val="00442520"/>
    <w:rsid w:val="0044268F"/>
    <w:rsid w:val="00442876"/>
    <w:rsid w:val="0044421C"/>
    <w:rsid w:val="00444583"/>
    <w:rsid w:val="00445138"/>
    <w:rsid w:val="00445631"/>
    <w:rsid w:val="004475DD"/>
    <w:rsid w:val="00447CE9"/>
    <w:rsid w:val="004500A9"/>
    <w:rsid w:val="00450464"/>
    <w:rsid w:val="00450865"/>
    <w:rsid w:val="00450DC2"/>
    <w:rsid w:val="0045106B"/>
    <w:rsid w:val="004517D9"/>
    <w:rsid w:val="00451E4F"/>
    <w:rsid w:val="004520A3"/>
    <w:rsid w:val="00452923"/>
    <w:rsid w:val="0045331D"/>
    <w:rsid w:val="00453E38"/>
    <w:rsid w:val="00454A15"/>
    <w:rsid w:val="00454C97"/>
    <w:rsid w:val="0045537B"/>
    <w:rsid w:val="00455786"/>
    <w:rsid w:val="00456EBC"/>
    <w:rsid w:val="00456FD8"/>
    <w:rsid w:val="00457736"/>
    <w:rsid w:val="00457897"/>
    <w:rsid w:val="00460599"/>
    <w:rsid w:val="004605AA"/>
    <w:rsid w:val="004609D9"/>
    <w:rsid w:val="004609DB"/>
    <w:rsid w:val="00460A5C"/>
    <w:rsid w:val="00460D93"/>
    <w:rsid w:val="004614DC"/>
    <w:rsid w:val="00461F3B"/>
    <w:rsid w:val="004621E7"/>
    <w:rsid w:val="00462691"/>
    <w:rsid w:val="00462735"/>
    <w:rsid w:val="00463182"/>
    <w:rsid w:val="00463966"/>
    <w:rsid w:val="004641DD"/>
    <w:rsid w:val="004641F2"/>
    <w:rsid w:val="00464D85"/>
    <w:rsid w:val="00464DAE"/>
    <w:rsid w:val="004655C2"/>
    <w:rsid w:val="00465B31"/>
    <w:rsid w:val="00465BBF"/>
    <w:rsid w:val="00466586"/>
    <w:rsid w:val="00466A12"/>
    <w:rsid w:val="004675B5"/>
    <w:rsid w:val="00470B29"/>
    <w:rsid w:val="00470D60"/>
    <w:rsid w:val="00471144"/>
    <w:rsid w:val="004711F3"/>
    <w:rsid w:val="00471BA4"/>
    <w:rsid w:val="00471D69"/>
    <w:rsid w:val="00472456"/>
    <w:rsid w:val="0047269B"/>
    <w:rsid w:val="004727C2"/>
    <w:rsid w:val="00472892"/>
    <w:rsid w:val="00472CA2"/>
    <w:rsid w:val="004731FA"/>
    <w:rsid w:val="004743A8"/>
    <w:rsid w:val="004744E1"/>
    <w:rsid w:val="00474765"/>
    <w:rsid w:val="0047496A"/>
    <w:rsid w:val="00474D8D"/>
    <w:rsid w:val="004751A3"/>
    <w:rsid w:val="00475464"/>
    <w:rsid w:val="00475B48"/>
    <w:rsid w:val="00475BC5"/>
    <w:rsid w:val="00476BCC"/>
    <w:rsid w:val="0047727F"/>
    <w:rsid w:val="00477345"/>
    <w:rsid w:val="0047745B"/>
    <w:rsid w:val="004774F6"/>
    <w:rsid w:val="00477643"/>
    <w:rsid w:val="00477B67"/>
    <w:rsid w:val="00477CCB"/>
    <w:rsid w:val="00480692"/>
    <w:rsid w:val="00480ED2"/>
    <w:rsid w:val="004813C7"/>
    <w:rsid w:val="00481D31"/>
    <w:rsid w:val="00482304"/>
    <w:rsid w:val="004827E8"/>
    <w:rsid w:val="00482B4E"/>
    <w:rsid w:val="00483009"/>
    <w:rsid w:val="00483BE7"/>
    <w:rsid w:val="004842A4"/>
    <w:rsid w:val="004842DF"/>
    <w:rsid w:val="004847EB"/>
    <w:rsid w:val="00484D26"/>
    <w:rsid w:val="0048560B"/>
    <w:rsid w:val="00486222"/>
    <w:rsid w:val="004868A0"/>
    <w:rsid w:val="00486AE2"/>
    <w:rsid w:val="00487549"/>
    <w:rsid w:val="00487742"/>
    <w:rsid w:val="00490045"/>
    <w:rsid w:val="00490C5C"/>
    <w:rsid w:val="00490D47"/>
    <w:rsid w:val="00490E35"/>
    <w:rsid w:val="00491AAB"/>
    <w:rsid w:val="00492004"/>
    <w:rsid w:val="00492926"/>
    <w:rsid w:val="00492FA7"/>
    <w:rsid w:val="0049319C"/>
    <w:rsid w:val="004932B7"/>
    <w:rsid w:val="0049351C"/>
    <w:rsid w:val="00493CC5"/>
    <w:rsid w:val="00493E22"/>
    <w:rsid w:val="0049420E"/>
    <w:rsid w:val="00494B7D"/>
    <w:rsid w:val="00495921"/>
    <w:rsid w:val="00495F41"/>
    <w:rsid w:val="004960DD"/>
    <w:rsid w:val="00496305"/>
    <w:rsid w:val="00496832"/>
    <w:rsid w:val="004968E2"/>
    <w:rsid w:val="004974AF"/>
    <w:rsid w:val="004A0372"/>
    <w:rsid w:val="004A1B17"/>
    <w:rsid w:val="004A1F05"/>
    <w:rsid w:val="004A2060"/>
    <w:rsid w:val="004A2CD3"/>
    <w:rsid w:val="004A2E7C"/>
    <w:rsid w:val="004A2FC1"/>
    <w:rsid w:val="004A4006"/>
    <w:rsid w:val="004A51A8"/>
    <w:rsid w:val="004A54EE"/>
    <w:rsid w:val="004A58D2"/>
    <w:rsid w:val="004A5D99"/>
    <w:rsid w:val="004A5EF7"/>
    <w:rsid w:val="004A69DC"/>
    <w:rsid w:val="004A7619"/>
    <w:rsid w:val="004A7AAA"/>
    <w:rsid w:val="004A7C1B"/>
    <w:rsid w:val="004A7E7F"/>
    <w:rsid w:val="004A7F11"/>
    <w:rsid w:val="004B0692"/>
    <w:rsid w:val="004B171A"/>
    <w:rsid w:val="004B1B15"/>
    <w:rsid w:val="004B1C3F"/>
    <w:rsid w:val="004B1E06"/>
    <w:rsid w:val="004B210B"/>
    <w:rsid w:val="004B237A"/>
    <w:rsid w:val="004B25F9"/>
    <w:rsid w:val="004B2E00"/>
    <w:rsid w:val="004B2E67"/>
    <w:rsid w:val="004B2FA6"/>
    <w:rsid w:val="004B2FA8"/>
    <w:rsid w:val="004B328E"/>
    <w:rsid w:val="004B387A"/>
    <w:rsid w:val="004B4042"/>
    <w:rsid w:val="004B4532"/>
    <w:rsid w:val="004B4ABD"/>
    <w:rsid w:val="004B4F6E"/>
    <w:rsid w:val="004B5185"/>
    <w:rsid w:val="004B5CD4"/>
    <w:rsid w:val="004B6737"/>
    <w:rsid w:val="004B6E76"/>
    <w:rsid w:val="004B7226"/>
    <w:rsid w:val="004B76E2"/>
    <w:rsid w:val="004B7E84"/>
    <w:rsid w:val="004C0D4C"/>
    <w:rsid w:val="004C0E30"/>
    <w:rsid w:val="004C14E6"/>
    <w:rsid w:val="004C2107"/>
    <w:rsid w:val="004C26D5"/>
    <w:rsid w:val="004C2A25"/>
    <w:rsid w:val="004C3499"/>
    <w:rsid w:val="004C3793"/>
    <w:rsid w:val="004C3A56"/>
    <w:rsid w:val="004C4842"/>
    <w:rsid w:val="004C4D6F"/>
    <w:rsid w:val="004C501E"/>
    <w:rsid w:val="004C53FA"/>
    <w:rsid w:val="004C5417"/>
    <w:rsid w:val="004C58BA"/>
    <w:rsid w:val="004C592E"/>
    <w:rsid w:val="004C6249"/>
    <w:rsid w:val="004C63D1"/>
    <w:rsid w:val="004C65DC"/>
    <w:rsid w:val="004C6B3A"/>
    <w:rsid w:val="004C7027"/>
    <w:rsid w:val="004C753D"/>
    <w:rsid w:val="004C7716"/>
    <w:rsid w:val="004C7E15"/>
    <w:rsid w:val="004D07B9"/>
    <w:rsid w:val="004D104E"/>
    <w:rsid w:val="004D11DD"/>
    <w:rsid w:val="004D19DA"/>
    <w:rsid w:val="004D22F1"/>
    <w:rsid w:val="004D2617"/>
    <w:rsid w:val="004D2790"/>
    <w:rsid w:val="004D27B3"/>
    <w:rsid w:val="004D28B4"/>
    <w:rsid w:val="004D35AE"/>
    <w:rsid w:val="004D3874"/>
    <w:rsid w:val="004D5292"/>
    <w:rsid w:val="004D5D25"/>
    <w:rsid w:val="004D64DE"/>
    <w:rsid w:val="004D6ABD"/>
    <w:rsid w:val="004D6D41"/>
    <w:rsid w:val="004D6EDA"/>
    <w:rsid w:val="004E03A8"/>
    <w:rsid w:val="004E0609"/>
    <w:rsid w:val="004E097C"/>
    <w:rsid w:val="004E1286"/>
    <w:rsid w:val="004E12A9"/>
    <w:rsid w:val="004E15BF"/>
    <w:rsid w:val="004E17CD"/>
    <w:rsid w:val="004E1A5C"/>
    <w:rsid w:val="004E2D5D"/>
    <w:rsid w:val="004E2DCB"/>
    <w:rsid w:val="004E33F6"/>
    <w:rsid w:val="004E3B03"/>
    <w:rsid w:val="004E3F29"/>
    <w:rsid w:val="004E4065"/>
    <w:rsid w:val="004E4B89"/>
    <w:rsid w:val="004E4DAA"/>
    <w:rsid w:val="004E4ED9"/>
    <w:rsid w:val="004E5001"/>
    <w:rsid w:val="004E56EB"/>
    <w:rsid w:val="004E59D1"/>
    <w:rsid w:val="004E62BC"/>
    <w:rsid w:val="004E6BB3"/>
    <w:rsid w:val="004E6C71"/>
    <w:rsid w:val="004E6E0B"/>
    <w:rsid w:val="004E716F"/>
    <w:rsid w:val="004F18C7"/>
    <w:rsid w:val="004F2D7A"/>
    <w:rsid w:val="004F31F7"/>
    <w:rsid w:val="004F3611"/>
    <w:rsid w:val="004F44B0"/>
    <w:rsid w:val="004F47DE"/>
    <w:rsid w:val="004F51CE"/>
    <w:rsid w:val="004F5258"/>
    <w:rsid w:val="004F5268"/>
    <w:rsid w:val="004F5757"/>
    <w:rsid w:val="004F5D4B"/>
    <w:rsid w:val="004F6107"/>
    <w:rsid w:val="004F6C71"/>
    <w:rsid w:val="004F6D60"/>
    <w:rsid w:val="004F7033"/>
    <w:rsid w:val="004F7739"/>
    <w:rsid w:val="004F7D67"/>
    <w:rsid w:val="00500FC2"/>
    <w:rsid w:val="00500FE1"/>
    <w:rsid w:val="0050199D"/>
    <w:rsid w:val="005023FB"/>
    <w:rsid w:val="00502725"/>
    <w:rsid w:val="00503B4D"/>
    <w:rsid w:val="00504F40"/>
    <w:rsid w:val="00505982"/>
    <w:rsid w:val="00505E0D"/>
    <w:rsid w:val="00506145"/>
    <w:rsid w:val="00506212"/>
    <w:rsid w:val="00506937"/>
    <w:rsid w:val="00506B02"/>
    <w:rsid w:val="00506D1E"/>
    <w:rsid w:val="00506E65"/>
    <w:rsid w:val="00507068"/>
    <w:rsid w:val="005072CC"/>
    <w:rsid w:val="005073C9"/>
    <w:rsid w:val="0050761A"/>
    <w:rsid w:val="00507912"/>
    <w:rsid w:val="00507A8C"/>
    <w:rsid w:val="00507E76"/>
    <w:rsid w:val="005101C9"/>
    <w:rsid w:val="00510F8D"/>
    <w:rsid w:val="00511837"/>
    <w:rsid w:val="005121E4"/>
    <w:rsid w:val="00512653"/>
    <w:rsid w:val="00513347"/>
    <w:rsid w:val="0051376B"/>
    <w:rsid w:val="00513845"/>
    <w:rsid w:val="00513D12"/>
    <w:rsid w:val="00513E5C"/>
    <w:rsid w:val="00513F74"/>
    <w:rsid w:val="00514546"/>
    <w:rsid w:val="0051458D"/>
    <w:rsid w:val="00514758"/>
    <w:rsid w:val="00514A0C"/>
    <w:rsid w:val="00514D50"/>
    <w:rsid w:val="0051542B"/>
    <w:rsid w:val="0051559E"/>
    <w:rsid w:val="0051635E"/>
    <w:rsid w:val="0051638F"/>
    <w:rsid w:val="005166F6"/>
    <w:rsid w:val="005167F2"/>
    <w:rsid w:val="00516D87"/>
    <w:rsid w:val="00516EBA"/>
    <w:rsid w:val="00517012"/>
    <w:rsid w:val="005201CA"/>
    <w:rsid w:val="005207E8"/>
    <w:rsid w:val="00520A7F"/>
    <w:rsid w:val="00520CF7"/>
    <w:rsid w:val="00521333"/>
    <w:rsid w:val="0052149D"/>
    <w:rsid w:val="00521F1E"/>
    <w:rsid w:val="005220E8"/>
    <w:rsid w:val="0052237B"/>
    <w:rsid w:val="005225CA"/>
    <w:rsid w:val="00522A4C"/>
    <w:rsid w:val="0052343D"/>
    <w:rsid w:val="0052397F"/>
    <w:rsid w:val="00524259"/>
    <w:rsid w:val="0052479F"/>
    <w:rsid w:val="00524863"/>
    <w:rsid w:val="0052507F"/>
    <w:rsid w:val="00525943"/>
    <w:rsid w:val="00525EB9"/>
    <w:rsid w:val="005266C9"/>
    <w:rsid w:val="005269AE"/>
    <w:rsid w:val="00527555"/>
    <w:rsid w:val="00527778"/>
    <w:rsid w:val="00527970"/>
    <w:rsid w:val="00530540"/>
    <w:rsid w:val="00530599"/>
    <w:rsid w:val="00530DBC"/>
    <w:rsid w:val="00531317"/>
    <w:rsid w:val="00531452"/>
    <w:rsid w:val="005314B6"/>
    <w:rsid w:val="0053196A"/>
    <w:rsid w:val="00531A27"/>
    <w:rsid w:val="00531E48"/>
    <w:rsid w:val="005320D5"/>
    <w:rsid w:val="00532206"/>
    <w:rsid w:val="0053352D"/>
    <w:rsid w:val="005342AA"/>
    <w:rsid w:val="005342C9"/>
    <w:rsid w:val="005357E7"/>
    <w:rsid w:val="0053653F"/>
    <w:rsid w:val="0053663D"/>
    <w:rsid w:val="005369F3"/>
    <w:rsid w:val="00536C38"/>
    <w:rsid w:val="00537524"/>
    <w:rsid w:val="00537694"/>
    <w:rsid w:val="00540667"/>
    <w:rsid w:val="005406D7"/>
    <w:rsid w:val="00540A13"/>
    <w:rsid w:val="00540E45"/>
    <w:rsid w:val="005410F0"/>
    <w:rsid w:val="0054133B"/>
    <w:rsid w:val="00541AA1"/>
    <w:rsid w:val="00541FF5"/>
    <w:rsid w:val="00542834"/>
    <w:rsid w:val="0054340E"/>
    <w:rsid w:val="00543436"/>
    <w:rsid w:val="0054381E"/>
    <w:rsid w:val="00544008"/>
    <w:rsid w:val="00544020"/>
    <w:rsid w:val="00544E0D"/>
    <w:rsid w:val="00545718"/>
    <w:rsid w:val="005462E1"/>
    <w:rsid w:val="005463FB"/>
    <w:rsid w:val="0054678B"/>
    <w:rsid w:val="0054728E"/>
    <w:rsid w:val="0054736A"/>
    <w:rsid w:val="00547641"/>
    <w:rsid w:val="00547703"/>
    <w:rsid w:val="00547ED3"/>
    <w:rsid w:val="00550160"/>
    <w:rsid w:val="005512A4"/>
    <w:rsid w:val="0055190F"/>
    <w:rsid w:val="00551B88"/>
    <w:rsid w:val="0055232C"/>
    <w:rsid w:val="00552403"/>
    <w:rsid w:val="005524A6"/>
    <w:rsid w:val="00552B65"/>
    <w:rsid w:val="0055327C"/>
    <w:rsid w:val="00554845"/>
    <w:rsid w:val="00554E7B"/>
    <w:rsid w:val="0055507C"/>
    <w:rsid w:val="005550CC"/>
    <w:rsid w:val="005551DA"/>
    <w:rsid w:val="005555F6"/>
    <w:rsid w:val="00555BEA"/>
    <w:rsid w:val="00555D8A"/>
    <w:rsid w:val="00556ADA"/>
    <w:rsid w:val="00556EA7"/>
    <w:rsid w:val="0055742E"/>
    <w:rsid w:val="0055759D"/>
    <w:rsid w:val="00557625"/>
    <w:rsid w:val="00557B0E"/>
    <w:rsid w:val="00557B79"/>
    <w:rsid w:val="00557E8F"/>
    <w:rsid w:val="00560F0F"/>
    <w:rsid w:val="00560FF2"/>
    <w:rsid w:val="0056141A"/>
    <w:rsid w:val="00561526"/>
    <w:rsid w:val="0056171B"/>
    <w:rsid w:val="005617D5"/>
    <w:rsid w:val="00561881"/>
    <w:rsid w:val="005625E9"/>
    <w:rsid w:val="0056268E"/>
    <w:rsid w:val="00562798"/>
    <w:rsid w:val="00562859"/>
    <w:rsid w:val="00562F30"/>
    <w:rsid w:val="005631F2"/>
    <w:rsid w:val="005640C3"/>
    <w:rsid w:val="00564C09"/>
    <w:rsid w:val="00564E76"/>
    <w:rsid w:val="00565547"/>
    <w:rsid w:val="0056567A"/>
    <w:rsid w:val="005668A2"/>
    <w:rsid w:val="0056698F"/>
    <w:rsid w:val="00567293"/>
    <w:rsid w:val="005678CE"/>
    <w:rsid w:val="00570C38"/>
    <w:rsid w:val="00570E59"/>
    <w:rsid w:val="00570FEA"/>
    <w:rsid w:val="005722C4"/>
    <w:rsid w:val="005726A4"/>
    <w:rsid w:val="00572BC0"/>
    <w:rsid w:val="0057301C"/>
    <w:rsid w:val="0057334B"/>
    <w:rsid w:val="00573615"/>
    <w:rsid w:val="00573BF1"/>
    <w:rsid w:val="005746FF"/>
    <w:rsid w:val="00574AC5"/>
    <w:rsid w:val="00574B66"/>
    <w:rsid w:val="00575975"/>
    <w:rsid w:val="00575AAB"/>
    <w:rsid w:val="00575C9F"/>
    <w:rsid w:val="00575E8E"/>
    <w:rsid w:val="00576119"/>
    <w:rsid w:val="0057629D"/>
    <w:rsid w:val="00576A82"/>
    <w:rsid w:val="005774CB"/>
    <w:rsid w:val="00577679"/>
    <w:rsid w:val="0058013F"/>
    <w:rsid w:val="00580EA8"/>
    <w:rsid w:val="0058122E"/>
    <w:rsid w:val="0058133D"/>
    <w:rsid w:val="005814CD"/>
    <w:rsid w:val="00581D13"/>
    <w:rsid w:val="00581F03"/>
    <w:rsid w:val="005823D8"/>
    <w:rsid w:val="0058286A"/>
    <w:rsid w:val="00583036"/>
    <w:rsid w:val="005830AA"/>
    <w:rsid w:val="005833E6"/>
    <w:rsid w:val="005841B1"/>
    <w:rsid w:val="005841CB"/>
    <w:rsid w:val="00584677"/>
    <w:rsid w:val="00584A64"/>
    <w:rsid w:val="00584EE1"/>
    <w:rsid w:val="0058554E"/>
    <w:rsid w:val="00585A7D"/>
    <w:rsid w:val="00585CFC"/>
    <w:rsid w:val="005868A1"/>
    <w:rsid w:val="00586935"/>
    <w:rsid w:val="005877F1"/>
    <w:rsid w:val="00587E8B"/>
    <w:rsid w:val="00587E9C"/>
    <w:rsid w:val="00587E9F"/>
    <w:rsid w:val="005902F1"/>
    <w:rsid w:val="0059055C"/>
    <w:rsid w:val="00590961"/>
    <w:rsid w:val="00590C82"/>
    <w:rsid w:val="00590E88"/>
    <w:rsid w:val="0059149B"/>
    <w:rsid w:val="005921FC"/>
    <w:rsid w:val="0059222F"/>
    <w:rsid w:val="00592980"/>
    <w:rsid w:val="00592A4A"/>
    <w:rsid w:val="00592C4D"/>
    <w:rsid w:val="00592EE1"/>
    <w:rsid w:val="00593D18"/>
    <w:rsid w:val="00594003"/>
    <w:rsid w:val="005949BE"/>
    <w:rsid w:val="00594C26"/>
    <w:rsid w:val="005953BB"/>
    <w:rsid w:val="00595838"/>
    <w:rsid w:val="0059622D"/>
    <w:rsid w:val="0059676C"/>
    <w:rsid w:val="0059714D"/>
    <w:rsid w:val="0059740C"/>
    <w:rsid w:val="005977E1"/>
    <w:rsid w:val="00597959"/>
    <w:rsid w:val="005A1082"/>
    <w:rsid w:val="005A10B9"/>
    <w:rsid w:val="005A127A"/>
    <w:rsid w:val="005A1B37"/>
    <w:rsid w:val="005A1CD5"/>
    <w:rsid w:val="005A2AF5"/>
    <w:rsid w:val="005A2B98"/>
    <w:rsid w:val="005A4497"/>
    <w:rsid w:val="005A45D3"/>
    <w:rsid w:val="005A47F1"/>
    <w:rsid w:val="005A4A03"/>
    <w:rsid w:val="005A4D04"/>
    <w:rsid w:val="005A54DD"/>
    <w:rsid w:val="005A6EB8"/>
    <w:rsid w:val="005A7667"/>
    <w:rsid w:val="005A7DE5"/>
    <w:rsid w:val="005B043D"/>
    <w:rsid w:val="005B047F"/>
    <w:rsid w:val="005B0915"/>
    <w:rsid w:val="005B0A1F"/>
    <w:rsid w:val="005B0BCE"/>
    <w:rsid w:val="005B1E3F"/>
    <w:rsid w:val="005B1F58"/>
    <w:rsid w:val="005B22BE"/>
    <w:rsid w:val="005B22FA"/>
    <w:rsid w:val="005B26D3"/>
    <w:rsid w:val="005B309B"/>
    <w:rsid w:val="005B3870"/>
    <w:rsid w:val="005B3A83"/>
    <w:rsid w:val="005B4ED1"/>
    <w:rsid w:val="005B5081"/>
    <w:rsid w:val="005B50FF"/>
    <w:rsid w:val="005B569E"/>
    <w:rsid w:val="005B5A34"/>
    <w:rsid w:val="005B5E95"/>
    <w:rsid w:val="005B65BB"/>
    <w:rsid w:val="005B69C9"/>
    <w:rsid w:val="005B75B3"/>
    <w:rsid w:val="005B7747"/>
    <w:rsid w:val="005B78D6"/>
    <w:rsid w:val="005C0613"/>
    <w:rsid w:val="005C1233"/>
    <w:rsid w:val="005C1284"/>
    <w:rsid w:val="005C14AC"/>
    <w:rsid w:val="005C195A"/>
    <w:rsid w:val="005C1DA7"/>
    <w:rsid w:val="005C206F"/>
    <w:rsid w:val="005C221B"/>
    <w:rsid w:val="005C22FF"/>
    <w:rsid w:val="005C2473"/>
    <w:rsid w:val="005C2BCC"/>
    <w:rsid w:val="005C338C"/>
    <w:rsid w:val="005C3617"/>
    <w:rsid w:val="005C3662"/>
    <w:rsid w:val="005C3C7C"/>
    <w:rsid w:val="005C42BA"/>
    <w:rsid w:val="005C42D8"/>
    <w:rsid w:val="005C4388"/>
    <w:rsid w:val="005C44F0"/>
    <w:rsid w:val="005C46A3"/>
    <w:rsid w:val="005C48E8"/>
    <w:rsid w:val="005C4E41"/>
    <w:rsid w:val="005C524F"/>
    <w:rsid w:val="005C535C"/>
    <w:rsid w:val="005C53B9"/>
    <w:rsid w:val="005C5DFA"/>
    <w:rsid w:val="005C615C"/>
    <w:rsid w:val="005C64A4"/>
    <w:rsid w:val="005C6580"/>
    <w:rsid w:val="005C6C7E"/>
    <w:rsid w:val="005C7222"/>
    <w:rsid w:val="005C734F"/>
    <w:rsid w:val="005D0693"/>
    <w:rsid w:val="005D0E48"/>
    <w:rsid w:val="005D14E4"/>
    <w:rsid w:val="005D1940"/>
    <w:rsid w:val="005D1C77"/>
    <w:rsid w:val="005D2061"/>
    <w:rsid w:val="005D2235"/>
    <w:rsid w:val="005D236D"/>
    <w:rsid w:val="005D2740"/>
    <w:rsid w:val="005D28CF"/>
    <w:rsid w:val="005D2E41"/>
    <w:rsid w:val="005D3E14"/>
    <w:rsid w:val="005D451F"/>
    <w:rsid w:val="005D4FD6"/>
    <w:rsid w:val="005D4FF8"/>
    <w:rsid w:val="005D518B"/>
    <w:rsid w:val="005D547E"/>
    <w:rsid w:val="005D5BBF"/>
    <w:rsid w:val="005D5D06"/>
    <w:rsid w:val="005D6808"/>
    <w:rsid w:val="005D7D97"/>
    <w:rsid w:val="005E001D"/>
    <w:rsid w:val="005E0199"/>
    <w:rsid w:val="005E0C92"/>
    <w:rsid w:val="005E0EC5"/>
    <w:rsid w:val="005E114F"/>
    <w:rsid w:val="005E1778"/>
    <w:rsid w:val="005E1AB3"/>
    <w:rsid w:val="005E1D27"/>
    <w:rsid w:val="005E2303"/>
    <w:rsid w:val="005E25C1"/>
    <w:rsid w:val="005E27BE"/>
    <w:rsid w:val="005E2A05"/>
    <w:rsid w:val="005E2C24"/>
    <w:rsid w:val="005E2F70"/>
    <w:rsid w:val="005E34E4"/>
    <w:rsid w:val="005E41B6"/>
    <w:rsid w:val="005E42DA"/>
    <w:rsid w:val="005E6248"/>
    <w:rsid w:val="005E6795"/>
    <w:rsid w:val="005E6E14"/>
    <w:rsid w:val="005E776F"/>
    <w:rsid w:val="005E7D2A"/>
    <w:rsid w:val="005F033F"/>
    <w:rsid w:val="005F0374"/>
    <w:rsid w:val="005F066D"/>
    <w:rsid w:val="005F092A"/>
    <w:rsid w:val="005F129F"/>
    <w:rsid w:val="005F1CC0"/>
    <w:rsid w:val="005F1E36"/>
    <w:rsid w:val="005F2423"/>
    <w:rsid w:val="005F265E"/>
    <w:rsid w:val="005F2B2F"/>
    <w:rsid w:val="005F3161"/>
    <w:rsid w:val="005F42C7"/>
    <w:rsid w:val="005F460D"/>
    <w:rsid w:val="005F514F"/>
    <w:rsid w:val="005F5EEE"/>
    <w:rsid w:val="005F676F"/>
    <w:rsid w:val="005F6C4F"/>
    <w:rsid w:val="005F715D"/>
    <w:rsid w:val="005F74D7"/>
    <w:rsid w:val="005F7A76"/>
    <w:rsid w:val="005F7A78"/>
    <w:rsid w:val="00600267"/>
    <w:rsid w:val="006002A8"/>
    <w:rsid w:val="006004AA"/>
    <w:rsid w:val="00600B90"/>
    <w:rsid w:val="006017C6"/>
    <w:rsid w:val="006019C8"/>
    <w:rsid w:val="00601A62"/>
    <w:rsid w:val="0060239A"/>
    <w:rsid w:val="0060240F"/>
    <w:rsid w:val="00602B16"/>
    <w:rsid w:val="00602E79"/>
    <w:rsid w:val="00602FB7"/>
    <w:rsid w:val="006031F1"/>
    <w:rsid w:val="00603B2B"/>
    <w:rsid w:val="00604E25"/>
    <w:rsid w:val="006050FF"/>
    <w:rsid w:val="00605667"/>
    <w:rsid w:val="006057CD"/>
    <w:rsid w:val="006057E1"/>
    <w:rsid w:val="00605B7A"/>
    <w:rsid w:val="00605D67"/>
    <w:rsid w:val="00606131"/>
    <w:rsid w:val="00606646"/>
    <w:rsid w:val="006067DF"/>
    <w:rsid w:val="00606B2F"/>
    <w:rsid w:val="00606BE2"/>
    <w:rsid w:val="0060703B"/>
    <w:rsid w:val="00607042"/>
    <w:rsid w:val="0060784C"/>
    <w:rsid w:val="00607AE5"/>
    <w:rsid w:val="0061107A"/>
    <w:rsid w:val="00611807"/>
    <w:rsid w:val="00611958"/>
    <w:rsid w:val="00611DA2"/>
    <w:rsid w:val="006121B5"/>
    <w:rsid w:val="006121BC"/>
    <w:rsid w:val="006121D2"/>
    <w:rsid w:val="006126A2"/>
    <w:rsid w:val="00612A50"/>
    <w:rsid w:val="00612BD5"/>
    <w:rsid w:val="006134DD"/>
    <w:rsid w:val="00613F6B"/>
    <w:rsid w:val="006152F3"/>
    <w:rsid w:val="00615941"/>
    <w:rsid w:val="006159E6"/>
    <w:rsid w:val="006160C8"/>
    <w:rsid w:val="0061648E"/>
    <w:rsid w:val="0061661B"/>
    <w:rsid w:val="00616956"/>
    <w:rsid w:val="0061698A"/>
    <w:rsid w:val="00616BCE"/>
    <w:rsid w:val="00616C7F"/>
    <w:rsid w:val="00616ED5"/>
    <w:rsid w:val="00617229"/>
    <w:rsid w:val="00617724"/>
    <w:rsid w:val="00617760"/>
    <w:rsid w:val="006178EB"/>
    <w:rsid w:val="00620118"/>
    <w:rsid w:val="006201BC"/>
    <w:rsid w:val="00620E2D"/>
    <w:rsid w:val="006213BC"/>
    <w:rsid w:val="006219D5"/>
    <w:rsid w:val="0062220F"/>
    <w:rsid w:val="0062232B"/>
    <w:rsid w:val="0062311A"/>
    <w:rsid w:val="00623597"/>
    <w:rsid w:val="0062392C"/>
    <w:rsid w:val="006239FB"/>
    <w:rsid w:val="00623A77"/>
    <w:rsid w:val="00623F20"/>
    <w:rsid w:val="006242ED"/>
    <w:rsid w:val="006247FD"/>
    <w:rsid w:val="00624D2B"/>
    <w:rsid w:val="006252AA"/>
    <w:rsid w:val="006254FC"/>
    <w:rsid w:val="00625DEE"/>
    <w:rsid w:val="006263B2"/>
    <w:rsid w:val="006269CB"/>
    <w:rsid w:val="006271B5"/>
    <w:rsid w:val="006279A1"/>
    <w:rsid w:val="00630278"/>
    <w:rsid w:val="006308AA"/>
    <w:rsid w:val="00630A84"/>
    <w:rsid w:val="00630B8F"/>
    <w:rsid w:val="00630CEF"/>
    <w:rsid w:val="00631123"/>
    <w:rsid w:val="00631347"/>
    <w:rsid w:val="006313C6"/>
    <w:rsid w:val="0063172A"/>
    <w:rsid w:val="00631B31"/>
    <w:rsid w:val="006320FD"/>
    <w:rsid w:val="006321BE"/>
    <w:rsid w:val="0063239E"/>
    <w:rsid w:val="00632730"/>
    <w:rsid w:val="0063294C"/>
    <w:rsid w:val="00632A93"/>
    <w:rsid w:val="0063323F"/>
    <w:rsid w:val="006334BF"/>
    <w:rsid w:val="00633592"/>
    <w:rsid w:val="006339DF"/>
    <w:rsid w:val="00633C2A"/>
    <w:rsid w:val="006346BE"/>
    <w:rsid w:val="006346E5"/>
    <w:rsid w:val="00634951"/>
    <w:rsid w:val="00634CCB"/>
    <w:rsid w:val="00634FF7"/>
    <w:rsid w:val="00635272"/>
    <w:rsid w:val="0063546C"/>
    <w:rsid w:val="00635527"/>
    <w:rsid w:val="0063553F"/>
    <w:rsid w:val="00635694"/>
    <w:rsid w:val="006356B3"/>
    <w:rsid w:val="0063582C"/>
    <w:rsid w:val="006358EE"/>
    <w:rsid w:val="00640564"/>
    <w:rsid w:val="006409D8"/>
    <w:rsid w:val="00640E51"/>
    <w:rsid w:val="00641DB9"/>
    <w:rsid w:val="006423F0"/>
    <w:rsid w:val="00642524"/>
    <w:rsid w:val="0064252F"/>
    <w:rsid w:val="00642FD7"/>
    <w:rsid w:val="006434CC"/>
    <w:rsid w:val="00643D87"/>
    <w:rsid w:val="0064435F"/>
    <w:rsid w:val="00644542"/>
    <w:rsid w:val="006445D7"/>
    <w:rsid w:val="00644B6E"/>
    <w:rsid w:val="00644BA3"/>
    <w:rsid w:val="00644C03"/>
    <w:rsid w:val="006456E8"/>
    <w:rsid w:val="00645C9C"/>
    <w:rsid w:val="00647373"/>
    <w:rsid w:val="0064749E"/>
    <w:rsid w:val="00647D3C"/>
    <w:rsid w:val="00650D29"/>
    <w:rsid w:val="0065136E"/>
    <w:rsid w:val="006514E4"/>
    <w:rsid w:val="00651A02"/>
    <w:rsid w:val="00651A75"/>
    <w:rsid w:val="00651B1E"/>
    <w:rsid w:val="00652788"/>
    <w:rsid w:val="006530FF"/>
    <w:rsid w:val="00653109"/>
    <w:rsid w:val="00653528"/>
    <w:rsid w:val="00653853"/>
    <w:rsid w:val="00655163"/>
    <w:rsid w:val="00655249"/>
    <w:rsid w:val="00655F27"/>
    <w:rsid w:val="00655F90"/>
    <w:rsid w:val="00656503"/>
    <w:rsid w:val="0065650F"/>
    <w:rsid w:val="00657E30"/>
    <w:rsid w:val="006602BC"/>
    <w:rsid w:val="0066037E"/>
    <w:rsid w:val="006604A2"/>
    <w:rsid w:val="00660D8D"/>
    <w:rsid w:val="00660EDE"/>
    <w:rsid w:val="00660F7B"/>
    <w:rsid w:val="0066101F"/>
    <w:rsid w:val="006614F6"/>
    <w:rsid w:val="0066177F"/>
    <w:rsid w:val="0066196A"/>
    <w:rsid w:val="00661B84"/>
    <w:rsid w:val="006625CA"/>
    <w:rsid w:val="0066343A"/>
    <w:rsid w:val="00663702"/>
    <w:rsid w:val="00663850"/>
    <w:rsid w:val="00663A50"/>
    <w:rsid w:val="00663BAC"/>
    <w:rsid w:val="00663FFB"/>
    <w:rsid w:val="006645C0"/>
    <w:rsid w:val="0066567C"/>
    <w:rsid w:val="00665BE7"/>
    <w:rsid w:val="00666358"/>
    <w:rsid w:val="006664CC"/>
    <w:rsid w:val="00666E1D"/>
    <w:rsid w:val="006672C4"/>
    <w:rsid w:val="00667D91"/>
    <w:rsid w:val="00667F6F"/>
    <w:rsid w:val="006702B6"/>
    <w:rsid w:val="00670760"/>
    <w:rsid w:val="006708BF"/>
    <w:rsid w:val="00670C29"/>
    <w:rsid w:val="006715C2"/>
    <w:rsid w:val="006718AB"/>
    <w:rsid w:val="00672202"/>
    <w:rsid w:val="00672698"/>
    <w:rsid w:val="0067276B"/>
    <w:rsid w:val="00672A97"/>
    <w:rsid w:val="00672A9E"/>
    <w:rsid w:val="00673535"/>
    <w:rsid w:val="006747E9"/>
    <w:rsid w:val="006748A8"/>
    <w:rsid w:val="00675352"/>
    <w:rsid w:val="00675CBA"/>
    <w:rsid w:val="006760BC"/>
    <w:rsid w:val="006770FE"/>
    <w:rsid w:val="00677A0A"/>
    <w:rsid w:val="00677C15"/>
    <w:rsid w:val="00677D64"/>
    <w:rsid w:val="0068005F"/>
    <w:rsid w:val="00680469"/>
    <w:rsid w:val="0068048C"/>
    <w:rsid w:val="00680741"/>
    <w:rsid w:val="00680CA2"/>
    <w:rsid w:val="0068126C"/>
    <w:rsid w:val="00681DAA"/>
    <w:rsid w:val="006822C7"/>
    <w:rsid w:val="00682346"/>
    <w:rsid w:val="00682987"/>
    <w:rsid w:val="00682A6B"/>
    <w:rsid w:val="006837C6"/>
    <w:rsid w:val="0068391B"/>
    <w:rsid w:val="00684F6A"/>
    <w:rsid w:val="006869B7"/>
    <w:rsid w:val="0068706E"/>
    <w:rsid w:val="006874F6"/>
    <w:rsid w:val="006875F5"/>
    <w:rsid w:val="00687608"/>
    <w:rsid w:val="00687DAF"/>
    <w:rsid w:val="00690580"/>
    <w:rsid w:val="00690BF9"/>
    <w:rsid w:val="00691A5E"/>
    <w:rsid w:val="00691F56"/>
    <w:rsid w:val="00691F90"/>
    <w:rsid w:val="00692432"/>
    <w:rsid w:val="00693378"/>
    <w:rsid w:val="00693474"/>
    <w:rsid w:val="00693791"/>
    <w:rsid w:val="00693B23"/>
    <w:rsid w:val="00693D76"/>
    <w:rsid w:val="0069473B"/>
    <w:rsid w:val="00695436"/>
    <w:rsid w:val="006958BB"/>
    <w:rsid w:val="00695917"/>
    <w:rsid w:val="006960D8"/>
    <w:rsid w:val="00697F5C"/>
    <w:rsid w:val="006A01FF"/>
    <w:rsid w:val="006A131C"/>
    <w:rsid w:val="006A1A42"/>
    <w:rsid w:val="006A249D"/>
    <w:rsid w:val="006A2A3E"/>
    <w:rsid w:val="006A2E61"/>
    <w:rsid w:val="006A2F5D"/>
    <w:rsid w:val="006A3A01"/>
    <w:rsid w:val="006A4157"/>
    <w:rsid w:val="006A43ED"/>
    <w:rsid w:val="006A453B"/>
    <w:rsid w:val="006A4E2A"/>
    <w:rsid w:val="006A4FE1"/>
    <w:rsid w:val="006A5472"/>
    <w:rsid w:val="006A5498"/>
    <w:rsid w:val="006A566D"/>
    <w:rsid w:val="006A5B99"/>
    <w:rsid w:val="006A5EA2"/>
    <w:rsid w:val="006A5F35"/>
    <w:rsid w:val="006A60DF"/>
    <w:rsid w:val="006A6B11"/>
    <w:rsid w:val="006A7087"/>
    <w:rsid w:val="006A7090"/>
    <w:rsid w:val="006A76BF"/>
    <w:rsid w:val="006A772D"/>
    <w:rsid w:val="006A7870"/>
    <w:rsid w:val="006A7AD5"/>
    <w:rsid w:val="006B00DC"/>
    <w:rsid w:val="006B052D"/>
    <w:rsid w:val="006B0954"/>
    <w:rsid w:val="006B0C45"/>
    <w:rsid w:val="006B19BE"/>
    <w:rsid w:val="006B1F15"/>
    <w:rsid w:val="006B2297"/>
    <w:rsid w:val="006B239B"/>
    <w:rsid w:val="006B26A6"/>
    <w:rsid w:val="006B282F"/>
    <w:rsid w:val="006B284F"/>
    <w:rsid w:val="006B327A"/>
    <w:rsid w:val="006B3590"/>
    <w:rsid w:val="006B3BA2"/>
    <w:rsid w:val="006B4114"/>
    <w:rsid w:val="006B4B35"/>
    <w:rsid w:val="006B5158"/>
    <w:rsid w:val="006B5734"/>
    <w:rsid w:val="006B58F8"/>
    <w:rsid w:val="006B5A27"/>
    <w:rsid w:val="006B5B99"/>
    <w:rsid w:val="006B616E"/>
    <w:rsid w:val="006B6571"/>
    <w:rsid w:val="006B6635"/>
    <w:rsid w:val="006B67E9"/>
    <w:rsid w:val="006B709F"/>
    <w:rsid w:val="006B7360"/>
    <w:rsid w:val="006C0300"/>
    <w:rsid w:val="006C039E"/>
    <w:rsid w:val="006C03FE"/>
    <w:rsid w:val="006C0931"/>
    <w:rsid w:val="006C1057"/>
    <w:rsid w:val="006C1501"/>
    <w:rsid w:val="006C1A99"/>
    <w:rsid w:val="006C21A8"/>
    <w:rsid w:val="006C2657"/>
    <w:rsid w:val="006C2F67"/>
    <w:rsid w:val="006C3FF1"/>
    <w:rsid w:val="006C41C3"/>
    <w:rsid w:val="006C4CBC"/>
    <w:rsid w:val="006C4D52"/>
    <w:rsid w:val="006C52AE"/>
    <w:rsid w:val="006C5395"/>
    <w:rsid w:val="006C5A12"/>
    <w:rsid w:val="006C77CD"/>
    <w:rsid w:val="006C7A9B"/>
    <w:rsid w:val="006C7BBA"/>
    <w:rsid w:val="006C7E92"/>
    <w:rsid w:val="006D00C0"/>
    <w:rsid w:val="006D045A"/>
    <w:rsid w:val="006D0CAD"/>
    <w:rsid w:val="006D12EC"/>
    <w:rsid w:val="006D27F1"/>
    <w:rsid w:val="006D29BD"/>
    <w:rsid w:val="006D29C4"/>
    <w:rsid w:val="006D2ADC"/>
    <w:rsid w:val="006D38F6"/>
    <w:rsid w:val="006D3BC3"/>
    <w:rsid w:val="006D445E"/>
    <w:rsid w:val="006D4F3B"/>
    <w:rsid w:val="006D51EB"/>
    <w:rsid w:val="006D56A1"/>
    <w:rsid w:val="006D596D"/>
    <w:rsid w:val="006D5C3C"/>
    <w:rsid w:val="006D5C9B"/>
    <w:rsid w:val="006D63DD"/>
    <w:rsid w:val="006D668E"/>
    <w:rsid w:val="006D6BE5"/>
    <w:rsid w:val="006D6F93"/>
    <w:rsid w:val="006D7202"/>
    <w:rsid w:val="006D76D0"/>
    <w:rsid w:val="006D7AAF"/>
    <w:rsid w:val="006D7B8C"/>
    <w:rsid w:val="006D7C94"/>
    <w:rsid w:val="006D7CA1"/>
    <w:rsid w:val="006D7D8E"/>
    <w:rsid w:val="006E00A0"/>
    <w:rsid w:val="006E00EA"/>
    <w:rsid w:val="006E02A7"/>
    <w:rsid w:val="006E06FC"/>
    <w:rsid w:val="006E0C12"/>
    <w:rsid w:val="006E0C3E"/>
    <w:rsid w:val="006E0D2B"/>
    <w:rsid w:val="006E0D69"/>
    <w:rsid w:val="006E0FFD"/>
    <w:rsid w:val="006E15E1"/>
    <w:rsid w:val="006E16AF"/>
    <w:rsid w:val="006E1C22"/>
    <w:rsid w:val="006E2440"/>
    <w:rsid w:val="006E251F"/>
    <w:rsid w:val="006E264E"/>
    <w:rsid w:val="006E292B"/>
    <w:rsid w:val="006E2A6D"/>
    <w:rsid w:val="006E2CDC"/>
    <w:rsid w:val="006E2DF4"/>
    <w:rsid w:val="006E34E8"/>
    <w:rsid w:val="006E3EB8"/>
    <w:rsid w:val="006E417A"/>
    <w:rsid w:val="006E509A"/>
    <w:rsid w:val="006E66FE"/>
    <w:rsid w:val="006E6C2E"/>
    <w:rsid w:val="006E784C"/>
    <w:rsid w:val="006E7A95"/>
    <w:rsid w:val="006E7AE4"/>
    <w:rsid w:val="006F0720"/>
    <w:rsid w:val="006F07B5"/>
    <w:rsid w:val="006F0CCB"/>
    <w:rsid w:val="006F11FD"/>
    <w:rsid w:val="006F1769"/>
    <w:rsid w:val="006F1B84"/>
    <w:rsid w:val="006F1DFF"/>
    <w:rsid w:val="006F21C7"/>
    <w:rsid w:val="006F2B33"/>
    <w:rsid w:val="006F2BAA"/>
    <w:rsid w:val="006F2E98"/>
    <w:rsid w:val="006F3861"/>
    <w:rsid w:val="006F38CB"/>
    <w:rsid w:val="006F3E45"/>
    <w:rsid w:val="006F41F7"/>
    <w:rsid w:val="006F46FC"/>
    <w:rsid w:val="006F4824"/>
    <w:rsid w:val="006F4895"/>
    <w:rsid w:val="006F56DF"/>
    <w:rsid w:val="006F5D98"/>
    <w:rsid w:val="006F5F66"/>
    <w:rsid w:val="006F603E"/>
    <w:rsid w:val="006F6666"/>
    <w:rsid w:val="006F679E"/>
    <w:rsid w:val="006F699D"/>
    <w:rsid w:val="006F6A3C"/>
    <w:rsid w:val="006F72AC"/>
    <w:rsid w:val="006F7543"/>
    <w:rsid w:val="006F7D6F"/>
    <w:rsid w:val="006F7E18"/>
    <w:rsid w:val="007002A0"/>
    <w:rsid w:val="00700AD7"/>
    <w:rsid w:val="0070153C"/>
    <w:rsid w:val="007038BF"/>
    <w:rsid w:val="00703C29"/>
    <w:rsid w:val="00704193"/>
    <w:rsid w:val="00704318"/>
    <w:rsid w:val="007043E4"/>
    <w:rsid w:val="007044F9"/>
    <w:rsid w:val="007046E9"/>
    <w:rsid w:val="00705076"/>
    <w:rsid w:val="00706BDD"/>
    <w:rsid w:val="00706E7C"/>
    <w:rsid w:val="007071AA"/>
    <w:rsid w:val="0070724F"/>
    <w:rsid w:val="007075F5"/>
    <w:rsid w:val="007077DD"/>
    <w:rsid w:val="0070788E"/>
    <w:rsid w:val="00707AF5"/>
    <w:rsid w:val="00707D25"/>
    <w:rsid w:val="00707E07"/>
    <w:rsid w:val="00707F83"/>
    <w:rsid w:val="00710327"/>
    <w:rsid w:val="007103D7"/>
    <w:rsid w:val="007104A5"/>
    <w:rsid w:val="00710644"/>
    <w:rsid w:val="0071104C"/>
    <w:rsid w:val="0071127C"/>
    <w:rsid w:val="00711BAE"/>
    <w:rsid w:val="00711C36"/>
    <w:rsid w:val="00711D6E"/>
    <w:rsid w:val="00711FF5"/>
    <w:rsid w:val="007123AF"/>
    <w:rsid w:val="00712AC8"/>
    <w:rsid w:val="007131AC"/>
    <w:rsid w:val="00713532"/>
    <w:rsid w:val="00713694"/>
    <w:rsid w:val="00713934"/>
    <w:rsid w:val="00714EA2"/>
    <w:rsid w:val="007162C8"/>
    <w:rsid w:val="00716452"/>
    <w:rsid w:val="007164FA"/>
    <w:rsid w:val="0071669F"/>
    <w:rsid w:val="00716A6F"/>
    <w:rsid w:val="00717513"/>
    <w:rsid w:val="007175B2"/>
    <w:rsid w:val="00717C54"/>
    <w:rsid w:val="007206B5"/>
    <w:rsid w:val="0072081D"/>
    <w:rsid w:val="0072098A"/>
    <w:rsid w:val="00720AFF"/>
    <w:rsid w:val="00721080"/>
    <w:rsid w:val="007213F3"/>
    <w:rsid w:val="00721B77"/>
    <w:rsid w:val="0072278C"/>
    <w:rsid w:val="0072299B"/>
    <w:rsid w:val="00722A15"/>
    <w:rsid w:val="007230AE"/>
    <w:rsid w:val="00723785"/>
    <w:rsid w:val="00723A6F"/>
    <w:rsid w:val="00723CFB"/>
    <w:rsid w:val="007243FC"/>
    <w:rsid w:val="00724672"/>
    <w:rsid w:val="007256D6"/>
    <w:rsid w:val="007257C3"/>
    <w:rsid w:val="007258AE"/>
    <w:rsid w:val="00725CEC"/>
    <w:rsid w:val="007260E7"/>
    <w:rsid w:val="0072780C"/>
    <w:rsid w:val="00727DE2"/>
    <w:rsid w:val="00727FF4"/>
    <w:rsid w:val="0073018A"/>
    <w:rsid w:val="0073022A"/>
    <w:rsid w:val="0073044E"/>
    <w:rsid w:val="00731C09"/>
    <w:rsid w:val="00732971"/>
    <w:rsid w:val="00732BB8"/>
    <w:rsid w:val="00732DEC"/>
    <w:rsid w:val="00733573"/>
    <w:rsid w:val="007343BE"/>
    <w:rsid w:val="00734624"/>
    <w:rsid w:val="007353C2"/>
    <w:rsid w:val="007359D9"/>
    <w:rsid w:val="00735C2F"/>
    <w:rsid w:val="00735D5F"/>
    <w:rsid w:val="00735E1F"/>
    <w:rsid w:val="00736082"/>
    <w:rsid w:val="00736A9F"/>
    <w:rsid w:val="00737813"/>
    <w:rsid w:val="00737BFC"/>
    <w:rsid w:val="00737E24"/>
    <w:rsid w:val="007401CC"/>
    <w:rsid w:val="00740689"/>
    <w:rsid w:val="007408C5"/>
    <w:rsid w:val="007416C6"/>
    <w:rsid w:val="0074197D"/>
    <w:rsid w:val="00741E2A"/>
    <w:rsid w:val="0074240B"/>
    <w:rsid w:val="007426A1"/>
    <w:rsid w:val="00742A05"/>
    <w:rsid w:val="00742B06"/>
    <w:rsid w:val="00742E6F"/>
    <w:rsid w:val="00742FBD"/>
    <w:rsid w:val="007434AD"/>
    <w:rsid w:val="00743D76"/>
    <w:rsid w:val="00743F1D"/>
    <w:rsid w:val="00744020"/>
    <w:rsid w:val="00745338"/>
    <w:rsid w:val="00745C5F"/>
    <w:rsid w:val="00745FE7"/>
    <w:rsid w:val="00746780"/>
    <w:rsid w:val="007469C7"/>
    <w:rsid w:val="00747536"/>
    <w:rsid w:val="0074771B"/>
    <w:rsid w:val="0074788C"/>
    <w:rsid w:val="007500F4"/>
    <w:rsid w:val="007506AC"/>
    <w:rsid w:val="007507EA"/>
    <w:rsid w:val="00750855"/>
    <w:rsid w:val="007508D0"/>
    <w:rsid w:val="00750A3B"/>
    <w:rsid w:val="00750D94"/>
    <w:rsid w:val="0075117E"/>
    <w:rsid w:val="007515EF"/>
    <w:rsid w:val="00751CB7"/>
    <w:rsid w:val="007520F7"/>
    <w:rsid w:val="007527E2"/>
    <w:rsid w:val="007528F4"/>
    <w:rsid w:val="0075305F"/>
    <w:rsid w:val="0075348A"/>
    <w:rsid w:val="007547DD"/>
    <w:rsid w:val="00754C31"/>
    <w:rsid w:val="007565AA"/>
    <w:rsid w:val="00756BF1"/>
    <w:rsid w:val="00756FD9"/>
    <w:rsid w:val="0075769E"/>
    <w:rsid w:val="00760A6B"/>
    <w:rsid w:val="00760F3E"/>
    <w:rsid w:val="0076140D"/>
    <w:rsid w:val="00761C34"/>
    <w:rsid w:val="00761D09"/>
    <w:rsid w:val="00762003"/>
    <w:rsid w:val="00762864"/>
    <w:rsid w:val="00762B99"/>
    <w:rsid w:val="007634EE"/>
    <w:rsid w:val="00763666"/>
    <w:rsid w:val="00763A68"/>
    <w:rsid w:val="00763F29"/>
    <w:rsid w:val="007644E1"/>
    <w:rsid w:val="00764734"/>
    <w:rsid w:val="00764AA8"/>
    <w:rsid w:val="00764C90"/>
    <w:rsid w:val="00764F59"/>
    <w:rsid w:val="00764FDE"/>
    <w:rsid w:val="00765160"/>
    <w:rsid w:val="00765245"/>
    <w:rsid w:val="00765265"/>
    <w:rsid w:val="007654DD"/>
    <w:rsid w:val="0076559D"/>
    <w:rsid w:val="00765CCB"/>
    <w:rsid w:val="00765EA4"/>
    <w:rsid w:val="00766491"/>
    <w:rsid w:val="0076669F"/>
    <w:rsid w:val="00766C5E"/>
    <w:rsid w:val="00767675"/>
    <w:rsid w:val="00767777"/>
    <w:rsid w:val="00767DF9"/>
    <w:rsid w:val="00770BF9"/>
    <w:rsid w:val="00770C3A"/>
    <w:rsid w:val="00770F81"/>
    <w:rsid w:val="00771175"/>
    <w:rsid w:val="007712E4"/>
    <w:rsid w:val="00772159"/>
    <w:rsid w:val="007727C6"/>
    <w:rsid w:val="00772BA1"/>
    <w:rsid w:val="00773406"/>
    <w:rsid w:val="00773462"/>
    <w:rsid w:val="00773E83"/>
    <w:rsid w:val="00774EC8"/>
    <w:rsid w:val="00774F2F"/>
    <w:rsid w:val="007750F1"/>
    <w:rsid w:val="007752D4"/>
    <w:rsid w:val="00775489"/>
    <w:rsid w:val="00775AB3"/>
    <w:rsid w:val="00775C69"/>
    <w:rsid w:val="00775CAE"/>
    <w:rsid w:val="00776263"/>
    <w:rsid w:val="00776345"/>
    <w:rsid w:val="00776447"/>
    <w:rsid w:val="007767D4"/>
    <w:rsid w:val="0077684B"/>
    <w:rsid w:val="0077688D"/>
    <w:rsid w:val="00777E09"/>
    <w:rsid w:val="00777EC1"/>
    <w:rsid w:val="00777F3D"/>
    <w:rsid w:val="0078008F"/>
    <w:rsid w:val="00780FAA"/>
    <w:rsid w:val="00780FD5"/>
    <w:rsid w:val="0078170C"/>
    <w:rsid w:val="007819BF"/>
    <w:rsid w:val="00782A44"/>
    <w:rsid w:val="00782E46"/>
    <w:rsid w:val="00783413"/>
    <w:rsid w:val="00783623"/>
    <w:rsid w:val="00783857"/>
    <w:rsid w:val="0078389C"/>
    <w:rsid w:val="007838A8"/>
    <w:rsid w:val="00784BAE"/>
    <w:rsid w:val="007854F7"/>
    <w:rsid w:val="007855DD"/>
    <w:rsid w:val="00785B21"/>
    <w:rsid w:val="00785DCA"/>
    <w:rsid w:val="0078613A"/>
    <w:rsid w:val="007862C9"/>
    <w:rsid w:val="00786339"/>
    <w:rsid w:val="0078638D"/>
    <w:rsid w:val="007872F4"/>
    <w:rsid w:val="00787C56"/>
    <w:rsid w:val="00790B47"/>
    <w:rsid w:val="00791324"/>
    <w:rsid w:val="0079145C"/>
    <w:rsid w:val="007916DA"/>
    <w:rsid w:val="00791753"/>
    <w:rsid w:val="00791994"/>
    <w:rsid w:val="00791E02"/>
    <w:rsid w:val="007929CC"/>
    <w:rsid w:val="00792B48"/>
    <w:rsid w:val="00792CE7"/>
    <w:rsid w:val="00793C8C"/>
    <w:rsid w:val="00793E22"/>
    <w:rsid w:val="007946C0"/>
    <w:rsid w:val="007947DE"/>
    <w:rsid w:val="007949F2"/>
    <w:rsid w:val="00794C48"/>
    <w:rsid w:val="007950C1"/>
    <w:rsid w:val="0079551F"/>
    <w:rsid w:val="0079581C"/>
    <w:rsid w:val="00795B19"/>
    <w:rsid w:val="00795BD4"/>
    <w:rsid w:val="00795F2A"/>
    <w:rsid w:val="007964EC"/>
    <w:rsid w:val="00796936"/>
    <w:rsid w:val="00796BC9"/>
    <w:rsid w:val="00796C34"/>
    <w:rsid w:val="0079770E"/>
    <w:rsid w:val="00797F5B"/>
    <w:rsid w:val="007A01EB"/>
    <w:rsid w:val="007A0229"/>
    <w:rsid w:val="007A04F5"/>
    <w:rsid w:val="007A083B"/>
    <w:rsid w:val="007A087F"/>
    <w:rsid w:val="007A0952"/>
    <w:rsid w:val="007A09A8"/>
    <w:rsid w:val="007A10A2"/>
    <w:rsid w:val="007A14DC"/>
    <w:rsid w:val="007A209C"/>
    <w:rsid w:val="007A2AEE"/>
    <w:rsid w:val="007A34BB"/>
    <w:rsid w:val="007A3B34"/>
    <w:rsid w:val="007A3B5B"/>
    <w:rsid w:val="007A43D7"/>
    <w:rsid w:val="007A4EA3"/>
    <w:rsid w:val="007A5254"/>
    <w:rsid w:val="007A54C0"/>
    <w:rsid w:val="007A56D2"/>
    <w:rsid w:val="007A5E93"/>
    <w:rsid w:val="007A6705"/>
    <w:rsid w:val="007A74A4"/>
    <w:rsid w:val="007A7833"/>
    <w:rsid w:val="007B0847"/>
    <w:rsid w:val="007B0CBC"/>
    <w:rsid w:val="007B1462"/>
    <w:rsid w:val="007B18DB"/>
    <w:rsid w:val="007B2191"/>
    <w:rsid w:val="007B220A"/>
    <w:rsid w:val="007B22AA"/>
    <w:rsid w:val="007B2FAE"/>
    <w:rsid w:val="007B3566"/>
    <w:rsid w:val="007B44A8"/>
    <w:rsid w:val="007B47AA"/>
    <w:rsid w:val="007B4855"/>
    <w:rsid w:val="007B4A28"/>
    <w:rsid w:val="007B4AB7"/>
    <w:rsid w:val="007B531D"/>
    <w:rsid w:val="007B5885"/>
    <w:rsid w:val="007B60B4"/>
    <w:rsid w:val="007B60DB"/>
    <w:rsid w:val="007B6386"/>
    <w:rsid w:val="007B669F"/>
    <w:rsid w:val="007B6890"/>
    <w:rsid w:val="007B6E78"/>
    <w:rsid w:val="007B7965"/>
    <w:rsid w:val="007C002E"/>
    <w:rsid w:val="007C04B5"/>
    <w:rsid w:val="007C0A65"/>
    <w:rsid w:val="007C0C58"/>
    <w:rsid w:val="007C0ED8"/>
    <w:rsid w:val="007C1054"/>
    <w:rsid w:val="007C15C6"/>
    <w:rsid w:val="007C1C80"/>
    <w:rsid w:val="007C1F0E"/>
    <w:rsid w:val="007C2108"/>
    <w:rsid w:val="007C22CC"/>
    <w:rsid w:val="007C28DF"/>
    <w:rsid w:val="007C2F40"/>
    <w:rsid w:val="007C317F"/>
    <w:rsid w:val="007C4529"/>
    <w:rsid w:val="007C4F02"/>
    <w:rsid w:val="007C5139"/>
    <w:rsid w:val="007C5F94"/>
    <w:rsid w:val="007C5FFC"/>
    <w:rsid w:val="007C6B85"/>
    <w:rsid w:val="007C723E"/>
    <w:rsid w:val="007C7775"/>
    <w:rsid w:val="007D002B"/>
    <w:rsid w:val="007D00B2"/>
    <w:rsid w:val="007D074B"/>
    <w:rsid w:val="007D0F13"/>
    <w:rsid w:val="007D10A0"/>
    <w:rsid w:val="007D168A"/>
    <w:rsid w:val="007D19D4"/>
    <w:rsid w:val="007D1CE0"/>
    <w:rsid w:val="007D1D37"/>
    <w:rsid w:val="007D2FBE"/>
    <w:rsid w:val="007D325D"/>
    <w:rsid w:val="007D33AA"/>
    <w:rsid w:val="007D3848"/>
    <w:rsid w:val="007D3D5C"/>
    <w:rsid w:val="007D3F76"/>
    <w:rsid w:val="007D4014"/>
    <w:rsid w:val="007D46F4"/>
    <w:rsid w:val="007D49ED"/>
    <w:rsid w:val="007D5042"/>
    <w:rsid w:val="007D5693"/>
    <w:rsid w:val="007D598B"/>
    <w:rsid w:val="007D5E2C"/>
    <w:rsid w:val="007D6D85"/>
    <w:rsid w:val="007D7297"/>
    <w:rsid w:val="007D7648"/>
    <w:rsid w:val="007D7FC5"/>
    <w:rsid w:val="007E03B1"/>
    <w:rsid w:val="007E06C8"/>
    <w:rsid w:val="007E0739"/>
    <w:rsid w:val="007E0A7C"/>
    <w:rsid w:val="007E10D3"/>
    <w:rsid w:val="007E1623"/>
    <w:rsid w:val="007E16CE"/>
    <w:rsid w:val="007E2E21"/>
    <w:rsid w:val="007E38C8"/>
    <w:rsid w:val="007E3AB1"/>
    <w:rsid w:val="007E3E85"/>
    <w:rsid w:val="007E4A53"/>
    <w:rsid w:val="007E4BCA"/>
    <w:rsid w:val="007E4D51"/>
    <w:rsid w:val="007E4F25"/>
    <w:rsid w:val="007E5253"/>
    <w:rsid w:val="007E5523"/>
    <w:rsid w:val="007E5AD5"/>
    <w:rsid w:val="007E5F99"/>
    <w:rsid w:val="007E68C7"/>
    <w:rsid w:val="007E6AB9"/>
    <w:rsid w:val="007E6C53"/>
    <w:rsid w:val="007F0B9E"/>
    <w:rsid w:val="007F0FEE"/>
    <w:rsid w:val="007F151C"/>
    <w:rsid w:val="007F1912"/>
    <w:rsid w:val="007F1FF7"/>
    <w:rsid w:val="007F2B4A"/>
    <w:rsid w:val="007F2FA4"/>
    <w:rsid w:val="007F3225"/>
    <w:rsid w:val="007F3301"/>
    <w:rsid w:val="007F35B0"/>
    <w:rsid w:val="007F37EF"/>
    <w:rsid w:val="007F3C36"/>
    <w:rsid w:val="007F4CB6"/>
    <w:rsid w:val="007F4DF7"/>
    <w:rsid w:val="007F50A1"/>
    <w:rsid w:val="007F5548"/>
    <w:rsid w:val="007F6A6A"/>
    <w:rsid w:val="007F7166"/>
    <w:rsid w:val="007F73C5"/>
    <w:rsid w:val="007F770D"/>
    <w:rsid w:val="007F78C0"/>
    <w:rsid w:val="00800082"/>
    <w:rsid w:val="008006F4"/>
    <w:rsid w:val="00801AB6"/>
    <w:rsid w:val="00802745"/>
    <w:rsid w:val="008033BD"/>
    <w:rsid w:val="00803C34"/>
    <w:rsid w:val="00804D41"/>
    <w:rsid w:val="00804E0F"/>
    <w:rsid w:val="0080513B"/>
    <w:rsid w:val="008054A8"/>
    <w:rsid w:val="00805E35"/>
    <w:rsid w:val="00805E5D"/>
    <w:rsid w:val="00806581"/>
    <w:rsid w:val="00806A23"/>
    <w:rsid w:val="008072EE"/>
    <w:rsid w:val="00807BAB"/>
    <w:rsid w:val="00807D3B"/>
    <w:rsid w:val="0081022A"/>
    <w:rsid w:val="00810427"/>
    <w:rsid w:val="00810D5E"/>
    <w:rsid w:val="008112C5"/>
    <w:rsid w:val="00811314"/>
    <w:rsid w:val="00811542"/>
    <w:rsid w:val="008119C1"/>
    <w:rsid w:val="00812434"/>
    <w:rsid w:val="008127FD"/>
    <w:rsid w:val="008128C1"/>
    <w:rsid w:val="00812B0A"/>
    <w:rsid w:val="00812E09"/>
    <w:rsid w:val="00813159"/>
    <w:rsid w:val="00813344"/>
    <w:rsid w:val="00813765"/>
    <w:rsid w:val="00813E8A"/>
    <w:rsid w:val="0081424E"/>
    <w:rsid w:val="008147C6"/>
    <w:rsid w:val="008148AE"/>
    <w:rsid w:val="00814A67"/>
    <w:rsid w:val="00815A36"/>
    <w:rsid w:val="008160B2"/>
    <w:rsid w:val="008161E5"/>
    <w:rsid w:val="008167A3"/>
    <w:rsid w:val="00816C55"/>
    <w:rsid w:val="00817D45"/>
    <w:rsid w:val="00817FB3"/>
    <w:rsid w:val="008200DB"/>
    <w:rsid w:val="0082076A"/>
    <w:rsid w:val="00820794"/>
    <w:rsid w:val="0082090A"/>
    <w:rsid w:val="00820AD6"/>
    <w:rsid w:val="00821B71"/>
    <w:rsid w:val="008228E9"/>
    <w:rsid w:val="00822A22"/>
    <w:rsid w:val="00822B48"/>
    <w:rsid w:val="00822D6F"/>
    <w:rsid w:val="008230F4"/>
    <w:rsid w:val="008248F0"/>
    <w:rsid w:val="00824C44"/>
    <w:rsid w:val="008252D6"/>
    <w:rsid w:val="0082553D"/>
    <w:rsid w:val="008259D4"/>
    <w:rsid w:val="0082641B"/>
    <w:rsid w:val="0082666F"/>
    <w:rsid w:val="00826AC1"/>
    <w:rsid w:val="00827801"/>
    <w:rsid w:val="00827F9A"/>
    <w:rsid w:val="008307D5"/>
    <w:rsid w:val="00830E7A"/>
    <w:rsid w:val="00831168"/>
    <w:rsid w:val="00831D67"/>
    <w:rsid w:val="00831EF2"/>
    <w:rsid w:val="008321A4"/>
    <w:rsid w:val="00832712"/>
    <w:rsid w:val="00832FD3"/>
    <w:rsid w:val="00833380"/>
    <w:rsid w:val="008333AC"/>
    <w:rsid w:val="008336A9"/>
    <w:rsid w:val="008336AE"/>
    <w:rsid w:val="008336FC"/>
    <w:rsid w:val="00833B24"/>
    <w:rsid w:val="00833C33"/>
    <w:rsid w:val="00833F6D"/>
    <w:rsid w:val="00834155"/>
    <w:rsid w:val="00834419"/>
    <w:rsid w:val="008349E1"/>
    <w:rsid w:val="00834D22"/>
    <w:rsid w:val="008358B7"/>
    <w:rsid w:val="0083593D"/>
    <w:rsid w:val="00835BC7"/>
    <w:rsid w:val="008363CE"/>
    <w:rsid w:val="00836D0C"/>
    <w:rsid w:val="00837343"/>
    <w:rsid w:val="00837442"/>
    <w:rsid w:val="008375BA"/>
    <w:rsid w:val="00837A19"/>
    <w:rsid w:val="00840180"/>
    <w:rsid w:val="0084083F"/>
    <w:rsid w:val="00840BE4"/>
    <w:rsid w:val="00840E06"/>
    <w:rsid w:val="0084197C"/>
    <w:rsid w:val="008424E1"/>
    <w:rsid w:val="00842875"/>
    <w:rsid w:val="008428AE"/>
    <w:rsid w:val="00842BA4"/>
    <w:rsid w:val="00842E94"/>
    <w:rsid w:val="00843658"/>
    <w:rsid w:val="00843F88"/>
    <w:rsid w:val="008445F6"/>
    <w:rsid w:val="00844777"/>
    <w:rsid w:val="00844D53"/>
    <w:rsid w:val="00844E47"/>
    <w:rsid w:val="00845163"/>
    <w:rsid w:val="008455C5"/>
    <w:rsid w:val="00845E6E"/>
    <w:rsid w:val="00846584"/>
    <w:rsid w:val="008465FD"/>
    <w:rsid w:val="00846F31"/>
    <w:rsid w:val="00847123"/>
    <w:rsid w:val="00847646"/>
    <w:rsid w:val="00850042"/>
    <w:rsid w:val="00850796"/>
    <w:rsid w:val="008509ED"/>
    <w:rsid w:val="008513B2"/>
    <w:rsid w:val="008515A9"/>
    <w:rsid w:val="008519DA"/>
    <w:rsid w:val="00852042"/>
    <w:rsid w:val="0085234B"/>
    <w:rsid w:val="0085260F"/>
    <w:rsid w:val="0085284B"/>
    <w:rsid w:val="008528FA"/>
    <w:rsid w:val="00852DA8"/>
    <w:rsid w:val="00852FE8"/>
    <w:rsid w:val="0085323D"/>
    <w:rsid w:val="00853398"/>
    <w:rsid w:val="0085445C"/>
    <w:rsid w:val="008549F9"/>
    <w:rsid w:val="00854BF0"/>
    <w:rsid w:val="00855F00"/>
    <w:rsid w:val="00857003"/>
    <w:rsid w:val="008605E1"/>
    <w:rsid w:val="00860E50"/>
    <w:rsid w:val="008612E2"/>
    <w:rsid w:val="008613FF"/>
    <w:rsid w:val="00861917"/>
    <w:rsid w:val="00861ACA"/>
    <w:rsid w:val="00861FE2"/>
    <w:rsid w:val="0086225D"/>
    <w:rsid w:val="008622BD"/>
    <w:rsid w:val="008627D2"/>
    <w:rsid w:val="00862C88"/>
    <w:rsid w:val="00863229"/>
    <w:rsid w:val="00864094"/>
    <w:rsid w:val="008641CC"/>
    <w:rsid w:val="008642F0"/>
    <w:rsid w:val="00864CB6"/>
    <w:rsid w:val="0086529A"/>
    <w:rsid w:val="008652ED"/>
    <w:rsid w:val="008659F1"/>
    <w:rsid w:val="00865F0D"/>
    <w:rsid w:val="00866414"/>
    <w:rsid w:val="00866460"/>
    <w:rsid w:val="008665CD"/>
    <w:rsid w:val="008666BA"/>
    <w:rsid w:val="00866F41"/>
    <w:rsid w:val="00866F5F"/>
    <w:rsid w:val="008672FB"/>
    <w:rsid w:val="008673BE"/>
    <w:rsid w:val="008674EE"/>
    <w:rsid w:val="0086752B"/>
    <w:rsid w:val="00867CCA"/>
    <w:rsid w:val="0087046A"/>
    <w:rsid w:val="00870646"/>
    <w:rsid w:val="008708FA"/>
    <w:rsid w:val="00870BC8"/>
    <w:rsid w:val="00871798"/>
    <w:rsid w:val="00871F26"/>
    <w:rsid w:val="0087209B"/>
    <w:rsid w:val="00872449"/>
    <w:rsid w:val="0087256C"/>
    <w:rsid w:val="008726EB"/>
    <w:rsid w:val="00873535"/>
    <w:rsid w:val="00873A7B"/>
    <w:rsid w:val="00873FA9"/>
    <w:rsid w:val="00874000"/>
    <w:rsid w:val="00874164"/>
    <w:rsid w:val="00874A3F"/>
    <w:rsid w:val="00875DD9"/>
    <w:rsid w:val="00875F63"/>
    <w:rsid w:val="00876CBE"/>
    <w:rsid w:val="00876D9B"/>
    <w:rsid w:val="00876DC6"/>
    <w:rsid w:val="0087710F"/>
    <w:rsid w:val="00877FA2"/>
    <w:rsid w:val="00880002"/>
    <w:rsid w:val="0088063C"/>
    <w:rsid w:val="0088112D"/>
    <w:rsid w:val="00881327"/>
    <w:rsid w:val="00881350"/>
    <w:rsid w:val="008814E9"/>
    <w:rsid w:val="008814FE"/>
    <w:rsid w:val="0088187D"/>
    <w:rsid w:val="008821CA"/>
    <w:rsid w:val="0088253C"/>
    <w:rsid w:val="00882852"/>
    <w:rsid w:val="00882D63"/>
    <w:rsid w:val="0088356D"/>
    <w:rsid w:val="00883918"/>
    <w:rsid w:val="00883B03"/>
    <w:rsid w:val="00883F1B"/>
    <w:rsid w:val="0088497A"/>
    <w:rsid w:val="00884B5D"/>
    <w:rsid w:val="00884DA7"/>
    <w:rsid w:val="00884F50"/>
    <w:rsid w:val="00885DD0"/>
    <w:rsid w:val="00885F04"/>
    <w:rsid w:val="00885F8B"/>
    <w:rsid w:val="0088669A"/>
    <w:rsid w:val="008867EC"/>
    <w:rsid w:val="00886801"/>
    <w:rsid w:val="00886C84"/>
    <w:rsid w:val="00886F8D"/>
    <w:rsid w:val="00887869"/>
    <w:rsid w:val="008878E9"/>
    <w:rsid w:val="008879D9"/>
    <w:rsid w:val="00887C9D"/>
    <w:rsid w:val="008900F2"/>
    <w:rsid w:val="00891594"/>
    <w:rsid w:val="00891D96"/>
    <w:rsid w:val="008920CD"/>
    <w:rsid w:val="00892885"/>
    <w:rsid w:val="00893290"/>
    <w:rsid w:val="00893310"/>
    <w:rsid w:val="00893BDD"/>
    <w:rsid w:val="0089407F"/>
    <w:rsid w:val="008942E6"/>
    <w:rsid w:val="008943F7"/>
    <w:rsid w:val="00894813"/>
    <w:rsid w:val="00895254"/>
    <w:rsid w:val="008956DA"/>
    <w:rsid w:val="00895872"/>
    <w:rsid w:val="0089593E"/>
    <w:rsid w:val="00895A5D"/>
    <w:rsid w:val="00895A7E"/>
    <w:rsid w:val="00895FC8"/>
    <w:rsid w:val="0089687E"/>
    <w:rsid w:val="0089799E"/>
    <w:rsid w:val="00897B26"/>
    <w:rsid w:val="008A056B"/>
    <w:rsid w:val="008A080A"/>
    <w:rsid w:val="008A0ECF"/>
    <w:rsid w:val="008A148E"/>
    <w:rsid w:val="008A1632"/>
    <w:rsid w:val="008A1C08"/>
    <w:rsid w:val="008A2148"/>
    <w:rsid w:val="008A2D65"/>
    <w:rsid w:val="008A3081"/>
    <w:rsid w:val="008A3803"/>
    <w:rsid w:val="008A41B6"/>
    <w:rsid w:val="008A42B8"/>
    <w:rsid w:val="008A435D"/>
    <w:rsid w:val="008A5590"/>
    <w:rsid w:val="008A6418"/>
    <w:rsid w:val="008A6442"/>
    <w:rsid w:val="008A6C3F"/>
    <w:rsid w:val="008A710F"/>
    <w:rsid w:val="008A71D4"/>
    <w:rsid w:val="008A7571"/>
    <w:rsid w:val="008B0715"/>
    <w:rsid w:val="008B0820"/>
    <w:rsid w:val="008B2BEB"/>
    <w:rsid w:val="008B347D"/>
    <w:rsid w:val="008B41F8"/>
    <w:rsid w:val="008B4735"/>
    <w:rsid w:val="008B4903"/>
    <w:rsid w:val="008B493C"/>
    <w:rsid w:val="008B4D7F"/>
    <w:rsid w:val="008B5922"/>
    <w:rsid w:val="008B5F2D"/>
    <w:rsid w:val="008B611F"/>
    <w:rsid w:val="008B6178"/>
    <w:rsid w:val="008B6A73"/>
    <w:rsid w:val="008B6AED"/>
    <w:rsid w:val="008B6E9B"/>
    <w:rsid w:val="008B7A92"/>
    <w:rsid w:val="008C00CF"/>
    <w:rsid w:val="008C1085"/>
    <w:rsid w:val="008C15B9"/>
    <w:rsid w:val="008C25DE"/>
    <w:rsid w:val="008C3481"/>
    <w:rsid w:val="008C3DA1"/>
    <w:rsid w:val="008C40C5"/>
    <w:rsid w:val="008C427E"/>
    <w:rsid w:val="008C4414"/>
    <w:rsid w:val="008C4B49"/>
    <w:rsid w:val="008C5544"/>
    <w:rsid w:val="008C5809"/>
    <w:rsid w:val="008C587A"/>
    <w:rsid w:val="008C5D05"/>
    <w:rsid w:val="008C6FDA"/>
    <w:rsid w:val="008C6FFC"/>
    <w:rsid w:val="008C787E"/>
    <w:rsid w:val="008C7CBD"/>
    <w:rsid w:val="008D031A"/>
    <w:rsid w:val="008D0716"/>
    <w:rsid w:val="008D1484"/>
    <w:rsid w:val="008D19F0"/>
    <w:rsid w:val="008D2101"/>
    <w:rsid w:val="008D3F38"/>
    <w:rsid w:val="008D4212"/>
    <w:rsid w:val="008D4561"/>
    <w:rsid w:val="008D4952"/>
    <w:rsid w:val="008D533E"/>
    <w:rsid w:val="008D5FBB"/>
    <w:rsid w:val="008D6269"/>
    <w:rsid w:val="008D676B"/>
    <w:rsid w:val="008D67D6"/>
    <w:rsid w:val="008D6EAA"/>
    <w:rsid w:val="008D6FB9"/>
    <w:rsid w:val="008D7E9D"/>
    <w:rsid w:val="008E0310"/>
    <w:rsid w:val="008E0513"/>
    <w:rsid w:val="008E0809"/>
    <w:rsid w:val="008E0DBE"/>
    <w:rsid w:val="008E20EB"/>
    <w:rsid w:val="008E21FF"/>
    <w:rsid w:val="008E24CE"/>
    <w:rsid w:val="008E30E1"/>
    <w:rsid w:val="008E34B5"/>
    <w:rsid w:val="008E3F15"/>
    <w:rsid w:val="008E3F8B"/>
    <w:rsid w:val="008E5F2D"/>
    <w:rsid w:val="008E691A"/>
    <w:rsid w:val="008E7680"/>
    <w:rsid w:val="008E7909"/>
    <w:rsid w:val="008F02E6"/>
    <w:rsid w:val="008F09A6"/>
    <w:rsid w:val="008F0D29"/>
    <w:rsid w:val="008F14B0"/>
    <w:rsid w:val="008F1DAF"/>
    <w:rsid w:val="008F1DD2"/>
    <w:rsid w:val="008F1FFB"/>
    <w:rsid w:val="008F4589"/>
    <w:rsid w:val="008F4C77"/>
    <w:rsid w:val="008F5870"/>
    <w:rsid w:val="008F5DEF"/>
    <w:rsid w:val="008F682C"/>
    <w:rsid w:val="008F687D"/>
    <w:rsid w:val="008F6C2A"/>
    <w:rsid w:val="008F6E40"/>
    <w:rsid w:val="008F7046"/>
    <w:rsid w:val="008F7C45"/>
    <w:rsid w:val="008F7EA0"/>
    <w:rsid w:val="00900B6B"/>
    <w:rsid w:val="00900C33"/>
    <w:rsid w:val="00900D94"/>
    <w:rsid w:val="009011F9"/>
    <w:rsid w:val="00901E48"/>
    <w:rsid w:val="00901FAF"/>
    <w:rsid w:val="00902174"/>
    <w:rsid w:val="009027ED"/>
    <w:rsid w:val="009035E1"/>
    <w:rsid w:val="00904102"/>
    <w:rsid w:val="00904355"/>
    <w:rsid w:val="009043CD"/>
    <w:rsid w:val="009046CC"/>
    <w:rsid w:val="00904A8F"/>
    <w:rsid w:val="00906B3D"/>
    <w:rsid w:val="00906DC1"/>
    <w:rsid w:val="009070FD"/>
    <w:rsid w:val="009071B3"/>
    <w:rsid w:val="009078A1"/>
    <w:rsid w:val="00910046"/>
    <w:rsid w:val="009107C7"/>
    <w:rsid w:val="00911300"/>
    <w:rsid w:val="0091165A"/>
    <w:rsid w:val="00911812"/>
    <w:rsid w:val="00911B64"/>
    <w:rsid w:val="009120B2"/>
    <w:rsid w:val="009124FD"/>
    <w:rsid w:val="009129F8"/>
    <w:rsid w:val="00912D84"/>
    <w:rsid w:val="00913796"/>
    <w:rsid w:val="009146BA"/>
    <w:rsid w:val="0091473A"/>
    <w:rsid w:val="009153F4"/>
    <w:rsid w:val="009164BB"/>
    <w:rsid w:val="0091671E"/>
    <w:rsid w:val="00916D09"/>
    <w:rsid w:val="009172BF"/>
    <w:rsid w:val="00917F51"/>
    <w:rsid w:val="0092014B"/>
    <w:rsid w:val="00920613"/>
    <w:rsid w:val="009207F6"/>
    <w:rsid w:val="00920D5D"/>
    <w:rsid w:val="00920D60"/>
    <w:rsid w:val="00921343"/>
    <w:rsid w:val="0092143A"/>
    <w:rsid w:val="0092176B"/>
    <w:rsid w:val="0092201C"/>
    <w:rsid w:val="00922452"/>
    <w:rsid w:val="009225EB"/>
    <w:rsid w:val="00922E69"/>
    <w:rsid w:val="009234A8"/>
    <w:rsid w:val="009240B3"/>
    <w:rsid w:val="00924136"/>
    <w:rsid w:val="009247F2"/>
    <w:rsid w:val="00924AF5"/>
    <w:rsid w:val="00924B38"/>
    <w:rsid w:val="00924F0A"/>
    <w:rsid w:val="00925393"/>
    <w:rsid w:val="009253A7"/>
    <w:rsid w:val="009254E1"/>
    <w:rsid w:val="009256F1"/>
    <w:rsid w:val="00925ABE"/>
    <w:rsid w:val="0092641A"/>
    <w:rsid w:val="009267E1"/>
    <w:rsid w:val="00927127"/>
    <w:rsid w:val="00927407"/>
    <w:rsid w:val="00927668"/>
    <w:rsid w:val="009278D6"/>
    <w:rsid w:val="00927941"/>
    <w:rsid w:val="009306C2"/>
    <w:rsid w:val="0093080E"/>
    <w:rsid w:val="00930CF1"/>
    <w:rsid w:val="009319D5"/>
    <w:rsid w:val="00932B99"/>
    <w:rsid w:val="00933562"/>
    <w:rsid w:val="009336DF"/>
    <w:rsid w:val="00933FD1"/>
    <w:rsid w:val="0093425A"/>
    <w:rsid w:val="00934456"/>
    <w:rsid w:val="00935877"/>
    <w:rsid w:val="009360E5"/>
    <w:rsid w:val="00936303"/>
    <w:rsid w:val="00936600"/>
    <w:rsid w:val="009367DA"/>
    <w:rsid w:val="0093691B"/>
    <w:rsid w:val="00937414"/>
    <w:rsid w:val="0093746E"/>
    <w:rsid w:val="009379DE"/>
    <w:rsid w:val="00937BFE"/>
    <w:rsid w:val="00937EF9"/>
    <w:rsid w:val="00941171"/>
    <w:rsid w:val="00941957"/>
    <w:rsid w:val="00942C28"/>
    <w:rsid w:val="00942F90"/>
    <w:rsid w:val="00942FC2"/>
    <w:rsid w:val="009430D7"/>
    <w:rsid w:val="009432A7"/>
    <w:rsid w:val="0094330F"/>
    <w:rsid w:val="0094394D"/>
    <w:rsid w:val="0094412A"/>
    <w:rsid w:val="0094413B"/>
    <w:rsid w:val="00944637"/>
    <w:rsid w:val="00944787"/>
    <w:rsid w:val="00944A93"/>
    <w:rsid w:val="00944D45"/>
    <w:rsid w:val="00944F5C"/>
    <w:rsid w:val="009450F9"/>
    <w:rsid w:val="00945B08"/>
    <w:rsid w:val="00946145"/>
    <w:rsid w:val="009461DD"/>
    <w:rsid w:val="00946465"/>
    <w:rsid w:val="0094698D"/>
    <w:rsid w:val="00947208"/>
    <w:rsid w:val="00947327"/>
    <w:rsid w:val="0094738B"/>
    <w:rsid w:val="00947918"/>
    <w:rsid w:val="009503BE"/>
    <w:rsid w:val="00950C28"/>
    <w:rsid w:val="00950EF0"/>
    <w:rsid w:val="00951342"/>
    <w:rsid w:val="00951564"/>
    <w:rsid w:val="00951D6B"/>
    <w:rsid w:val="00952688"/>
    <w:rsid w:val="00952736"/>
    <w:rsid w:val="00952FC3"/>
    <w:rsid w:val="00953A84"/>
    <w:rsid w:val="0095416D"/>
    <w:rsid w:val="0095561F"/>
    <w:rsid w:val="009556E7"/>
    <w:rsid w:val="00955E9B"/>
    <w:rsid w:val="00956498"/>
    <w:rsid w:val="00956521"/>
    <w:rsid w:val="00956681"/>
    <w:rsid w:val="00956DB3"/>
    <w:rsid w:val="00957B0A"/>
    <w:rsid w:val="00960033"/>
    <w:rsid w:val="00960624"/>
    <w:rsid w:val="009610D0"/>
    <w:rsid w:val="009620E6"/>
    <w:rsid w:val="00962297"/>
    <w:rsid w:val="00962B59"/>
    <w:rsid w:val="00962BDD"/>
    <w:rsid w:val="00962E9D"/>
    <w:rsid w:val="00962F9F"/>
    <w:rsid w:val="00963507"/>
    <w:rsid w:val="0096381B"/>
    <w:rsid w:val="0096459B"/>
    <w:rsid w:val="00965133"/>
    <w:rsid w:val="009657EB"/>
    <w:rsid w:val="00965C53"/>
    <w:rsid w:val="009660CE"/>
    <w:rsid w:val="00966382"/>
    <w:rsid w:val="00966983"/>
    <w:rsid w:val="00967183"/>
    <w:rsid w:val="00967260"/>
    <w:rsid w:val="00967519"/>
    <w:rsid w:val="00967A81"/>
    <w:rsid w:val="00967B11"/>
    <w:rsid w:val="00967F73"/>
    <w:rsid w:val="00970166"/>
    <w:rsid w:val="00970C86"/>
    <w:rsid w:val="00970D5E"/>
    <w:rsid w:val="00971221"/>
    <w:rsid w:val="009717E2"/>
    <w:rsid w:val="00971CFC"/>
    <w:rsid w:val="00972157"/>
    <w:rsid w:val="00972353"/>
    <w:rsid w:val="009723A4"/>
    <w:rsid w:val="00972830"/>
    <w:rsid w:val="009729FD"/>
    <w:rsid w:val="00972EA2"/>
    <w:rsid w:val="00972F8C"/>
    <w:rsid w:val="0097344A"/>
    <w:rsid w:val="00973869"/>
    <w:rsid w:val="00973AB4"/>
    <w:rsid w:val="00973E4D"/>
    <w:rsid w:val="009740C3"/>
    <w:rsid w:val="009744BD"/>
    <w:rsid w:val="009748B7"/>
    <w:rsid w:val="009749F3"/>
    <w:rsid w:val="00974D0F"/>
    <w:rsid w:val="00975103"/>
    <w:rsid w:val="009752C5"/>
    <w:rsid w:val="00975416"/>
    <w:rsid w:val="0097606E"/>
    <w:rsid w:val="009769D2"/>
    <w:rsid w:val="009771DD"/>
    <w:rsid w:val="009771F9"/>
    <w:rsid w:val="009774F3"/>
    <w:rsid w:val="00977AC0"/>
    <w:rsid w:val="00977E0D"/>
    <w:rsid w:val="009807B0"/>
    <w:rsid w:val="00980849"/>
    <w:rsid w:val="00980D8C"/>
    <w:rsid w:val="00982364"/>
    <w:rsid w:val="00982A97"/>
    <w:rsid w:val="009835E8"/>
    <w:rsid w:val="00983728"/>
    <w:rsid w:val="00983BD9"/>
    <w:rsid w:val="009843A9"/>
    <w:rsid w:val="0098462B"/>
    <w:rsid w:val="00984EB4"/>
    <w:rsid w:val="00985294"/>
    <w:rsid w:val="00985D45"/>
    <w:rsid w:val="00986092"/>
    <w:rsid w:val="00986AA0"/>
    <w:rsid w:val="00990718"/>
    <w:rsid w:val="00990D4B"/>
    <w:rsid w:val="0099110F"/>
    <w:rsid w:val="0099137B"/>
    <w:rsid w:val="0099225B"/>
    <w:rsid w:val="009934E7"/>
    <w:rsid w:val="009938DE"/>
    <w:rsid w:val="00993942"/>
    <w:rsid w:val="00993AF9"/>
    <w:rsid w:val="00993C50"/>
    <w:rsid w:val="0099513E"/>
    <w:rsid w:val="009953F5"/>
    <w:rsid w:val="00995415"/>
    <w:rsid w:val="00996566"/>
    <w:rsid w:val="009966DA"/>
    <w:rsid w:val="009969E4"/>
    <w:rsid w:val="009975BB"/>
    <w:rsid w:val="009975DE"/>
    <w:rsid w:val="00997753"/>
    <w:rsid w:val="009A0ED4"/>
    <w:rsid w:val="009A14CA"/>
    <w:rsid w:val="009A16F6"/>
    <w:rsid w:val="009A2AEC"/>
    <w:rsid w:val="009A2ECF"/>
    <w:rsid w:val="009A310E"/>
    <w:rsid w:val="009A3F32"/>
    <w:rsid w:val="009A3FCC"/>
    <w:rsid w:val="009A48FF"/>
    <w:rsid w:val="009A4BBD"/>
    <w:rsid w:val="009A501A"/>
    <w:rsid w:val="009A5288"/>
    <w:rsid w:val="009A5306"/>
    <w:rsid w:val="009A5B23"/>
    <w:rsid w:val="009A6715"/>
    <w:rsid w:val="009A68B2"/>
    <w:rsid w:val="009A7175"/>
    <w:rsid w:val="009A7554"/>
    <w:rsid w:val="009A7732"/>
    <w:rsid w:val="009A77DD"/>
    <w:rsid w:val="009A78E5"/>
    <w:rsid w:val="009A7F65"/>
    <w:rsid w:val="009B03F8"/>
    <w:rsid w:val="009B0693"/>
    <w:rsid w:val="009B0957"/>
    <w:rsid w:val="009B1BE1"/>
    <w:rsid w:val="009B23B7"/>
    <w:rsid w:val="009B2490"/>
    <w:rsid w:val="009B31F5"/>
    <w:rsid w:val="009B3604"/>
    <w:rsid w:val="009B39D5"/>
    <w:rsid w:val="009B3D33"/>
    <w:rsid w:val="009B3F8B"/>
    <w:rsid w:val="009B4005"/>
    <w:rsid w:val="009B4113"/>
    <w:rsid w:val="009B5A9A"/>
    <w:rsid w:val="009B5EA7"/>
    <w:rsid w:val="009B6084"/>
    <w:rsid w:val="009B6179"/>
    <w:rsid w:val="009B6187"/>
    <w:rsid w:val="009B62EE"/>
    <w:rsid w:val="009B6A7B"/>
    <w:rsid w:val="009B6D86"/>
    <w:rsid w:val="009B6EA1"/>
    <w:rsid w:val="009B7DFF"/>
    <w:rsid w:val="009C00E1"/>
    <w:rsid w:val="009C0ED0"/>
    <w:rsid w:val="009C1392"/>
    <w:rsid w:val="009C221D"/>
    <w:rsid w:val="009C2259"/>
    <w:rsid w:val="009C2579"/>
    <w:rsid w:val="009C2B54"/>
    <w:rsid w:val="009C2D88"/>
    <w:rsid w:val="009C35CD"/>
    <w:rsid w:val="009C44B4"/>
    <w:rsid w:val="009C475E"/>
    <w:rsid w:val="009C4B76"/>
    <w:rsid w:val="009C4BAB"/>
    <w:rsid w:val="009C566D"/>
    <w:rsid w:val="009C6871"/>
    <w:rsid w:val="009C6F77"/>
    <w:rsid w:val="009C7211"/>
    <w:rsid w:val="009C73C2"/>
    <w:rsid w:val="009C7532"/>
    <w:rsid w:val="009D00A0"/>
    <w:rsid w:val="009D0548"/>
    <w:rsid w:val="009D0841"/>
    <w:rsid w:val="009D0B57"/>
    <w:rsid w:val="009D1366"/>
    <w:rsid w:val="009D1DC8"/>
    <w:rsid w:val="009D204F"/>
    <w:rsid w:val="009D282B"/>
    <w:rsid w:val="009D28C8"/>
    <w:rsid w:val="009D2BC3"/>
    <w:rsid w:val="009D2BDC"/>
    <w:rsid w:val="009D2CF0"/>
    <w:rsid w:val="009D2E9C"/>
    <w:rsid w:val="009D3500"/>
    <w:rsid w:val="009D3CAA"/>
    <w:rsid w:val="009D4058"/>
    <w:rsid w:val="009D4545"/>
    <w:rsid w:val="009D4844"/>
    <w:rsid w:val="009D48C0"/>
    <w:rsid w:val="009D4D41"/>
    <w:rsid w:val="009D64C2"/>
    <w:rsid w:val="009D64CB"/>
    <w:rsid w:val="009D6750"/>
    <w:rsid w:val="009D6838"/>
    <w:rsid w:val="009D730F"/>
    <w:rsid w:val="009D7537"/>
    <w:rsid w:val="009D7560"/>
    <w:rsid w:val="009D79C4"/>
    <w:rsid w:val="009D7DCF"/>
    <w:rsid w:val="009D7ED0"/>
    <w:rsid w:val="009E0529"/>
    <w:rsid w:val="009E0C2B"/>
    <w:rsid w:val="009E11A6"/>
    <w:rsid w:val="009E1BDB"/>
    <w:rsid w:val="009E1D76"/>
    <w:rsid w:val="009E1DD3"/>
    <w:rsid w:val="009E1F40"/>
    <w:rsid w:val="009E21B4"/>
    <w:rsid w:val="009E245B"/>
    <w:rsid w:val="009E2756"/>
    <w:rsid w:val="009E2B1F"/>
    <w:rsid w:val="009E2B4D"/>
    <w:rsid w:val="009E354B"/>
    <w:rsid w:val="009E4050"/>
    <w:rsid w:val="009E4251"/>
    <w:rsid w:val="009E5776"/>
    <w:rsid w:val="009E599A"/>
    <w:rsid w:val="009E5DCF"/>
    <w:rsid w:val="009E6484"/>
    <w:rsid w:val="009E6A6F"/>
    <w:rsid w:val="009E762E"/>
    <w:rsid w:val="009E788B"/>
    <w:rsid w:val="009E7985"/>
    <w:rsid w:val="009E7A67"/>
    <w:rsid w:val="009F0875"/>
    <w:rsid w:val="009F12A8"/>
    <w:rsid w:val="009F12D5"/>
    <w:rsid w:val="009F1488"/>
    <w:rsid w:val="009F1AE2"/>
    <w:rsid w:val="009F2255"/>
    <w:rsid w:val="009F245F"/>
    <w:rsid w:val="009F2476"/>
    <w:rsid w:val="009F2CAC"/>
    <w:rsid w:val="009F3537"/>
    <w:rsid w:val="009F36E6"/>
    <w:rsid w:val="009F415A"/>
    <w:rsid w:val="009F431C"/>
    <w:rsid w:val="009F4A5D"/>
    <w:rsid w:val="009F545B"/>
    <w:rsid w:val="009F56BF"/>
    <w:rsid w:val="009F6021"/>
    <w:rsid w:val="009F61C4"/>
    <w:rsid w:val="009F6566"/>
    <w:rsid w:val="009F6652"/>
    <w:rsid w:val="009F69E5"/>
    <w:rsid w:val="009F6E35"/>
    <w:rsid w:val="009F7493"/>
    <w:rsid w:val="009F77DF"/>
    <w:rsid w:val="009F7883"/>
    <w:rsid w:val="00A00237"/>
    <w:rsid w:val="00A00A54"/>
    <w:rsid w:val="00A00D6C"/>
    <w:rsid w:val="00A00E70"/>
    <w:rsid w:val="00A00F19"/>
    <w:rsid w:val="00A00F1D"/>
    <w:rsid w:val="00A00FC7"/>
    <w:rsid w:val="00A011EE"/>
    <w:rsid w:val="00A01F15"/>
    <w:rsid w:val="00A029B5"/>
    <w:rsid w:val="00A02D98"/>
    <w:rsid w:val="00A03125"/>
    <w:rsid w:val="00A038C8"/>
    <w:rsid w:val="00A04863"/>
    <w:rsid w:val="00A0488F"/>
    <w:rsid w:val="00A04CE7"/>
    <w:rsid w:val="00A052FD"/>
    <w:rsid w:val="00A0565E"/>
    <w:rsid w:val="00A06056"/>
    <w:rsid w:val="00A066C6"/>
    <w:rsid w:val="00A0674A"/>
    <w:rsid w:val="00A06755"/>
    <w:rsid w:val="00A06BDD"/>
    <w:rsid w:val="00A06DD8"/>
    <w:rsid w:val="00A07347"/>
    <w:rsid w:val="00A07419"/>
    <w:rsid w:val="00A07593"/>
    <w:rsid w:val="00A0794B"/>
    <w:rsid w:val="00A079BA"/>
    <w:rsid w:val="00A07DD0"/>
    <w:rsid w:val="00A07E20"/>
    <w:rsid w:val="00A10710"/>
    <w:rsid w:val="00A10E36"/>
    <w:rsid w:val="00A119D4"/>
    <w:rsid w:val="00A11AD9"/>
    <w:rsid w:val="00A11C58"/>
    <w:rsid w:val="00A1217B"/>
    <w:rsid w:val="00A12231"/>
    <w:rsid w:val="00A124AC"/>
    <w:rsid w:val="00A12E28"/>
    <w:rsid w:val="00A12E37"/>
    <w:rsid w:val="00A13799"/>
    <w:rsid w:val="00A13A31"/>
    <w:rsid w:val="00A13B80"/>
    <w:rsid w:val="00A14071"/>
    <w:rsid w:val="00A143A8"/>
    <w:rsid w:val="00A1462E"/>
    <w:rsid w:val="00A1476F"/>
    <w:rsid w:val="00A14B1B"/>
    <w:rsid w:val="00A14DB7"/>
    <w:rsid w:val="00A16208"/>
    <w:rsid w:val="00A162B8"/>
    <w:rsid w:val="00A16300"/>
    <w:rsid w:val="00A167E9"/>
    <w:rsid w:val="00A174A1"/>
    <w:rsid w:val="00A17A65"/>
    <w:rsid w:val="00A17BC1"/>
    <w:rsid w:val="00A21126"/>
    <w:rsid w:val="00A21878"/>
    <w:rsid w:val="00A21F97"/>
    <w:rsid w:val="00A2201A"/>
    <w:rsid w:val="00A226B4"/>
    <w:rsid w:val="00A229CB"/>
    <w:rsid w:val="00A22D99"/>
    <w:rsid w:val="00A22EAB"/>
    <w:rsid w:val="00A2353A"/>
    <w:rsid w:val="00A239B2"/>
    <w:rsid w:val="00A239C2"/>
    <w:rsid w:val="00A24228"/>
    <w:rsid w:val="00A24D04"/>
    <w:rsid w:val="00A24E76"/>
    <w:rsid w:val="00A25272"/>
    <w:rsid w:val="00A253E1"/>
    <w:rsid w:val="00A25652"/>
    <w:rsid w:val="00A25859"/>
    <w:rsid w:val="00A263A6"/>
    <w:rsid w:val="00A26704"/>
    <w:rsid w:val="00A2713A"/>
    <w:rsid w:val="00A2715F"/>
    <w:rsid w:val="00A275B2"/>
    <w:rsid w:val="00A27BA2"/>
    <w:rsid w:val="00A30852"/>
    <w:rsid w:val="00A31162"/>
    <w:rsid w:val="00A31547"/>
    <w:rsid w:val="00A31EC9"/>
    <w:rsid w:val="00A31EED"/>
    <w:rsid w:val="00A3252F"/>
    <w:rsid w:val="00A32D2C"/>
    <w:rsid w:val="00A33B23"/>
    <w:rsid w:val="00A340F6"/>
    <w:rsid w:val="00A342FF"/>
    <w:rsid w:val="00A343C3"/>
    <w:rsid w:val="00A3443D"/>
    <w:rsid w:val="00A34606"/>
    <w:rsid w:val="00A34E24"/>
    <w:rsid w:val="00A350EE"/>
    <w:rsid w:val="00A35600"/>
    <w:rsid w:val="00A35790"/>
    <w:rsid w:val="00A35C05"/>
    <w:rsid w:val="00A35CBB"/>
    <w:rsid w:val="00A35D58"/>
    <w:rsid w:val="00A36748"/>
    <w:rsid w:val="00A407A0"/>
    <w:rsid w:val="00A4118F"/>
    <w:rsid w:val="00A415FB"/>
    <w:rsid w:val="00A4195A"/>
    <w:rsid w:val="00A419C5"/>
    <w:rsid w:val="00A41FEB"/>
    <w:rsid w:val="00A4264E"/>
    <w:rsid w:val="00A42702"/>
    <w:rsid w:val="00A42903"/>
    <w:rsid w:val="00A42C48"/>
    <w:rsid w:val="00A432A7"/>
    <w:rsid w:val="00A434A9"/>
    <w:rsid w:val="00A439D1"/>
    <w:rsid w:val="00A43C09"/>
    <w:rsid w:val="00A442E2"/>
    <w:rsid w:val="00A44407"/>
    <w:rsid w:val="00A44AA4"/>
    <w:rsid w:val="00A44B84"/>
    <w:rsid w:val="00A44C44"/>
    <w:rsid w:val="00A44D1D"/>
    <w:rsid w:val="00A44EDC"/>
    <w:rsid w:val="00A45BE0"/>
    <w:rsid w:val="00A45EF1"/>
    <w:rsid w:val="00A46526"/>
    <w:rsid w:val="00A479BC"/>
    <w:rsid w:val="00A47CB7"/>
    <w:rsid w:val="00A47F92"/>
    <w:rsid w:val="00A50586"/>
    <w:rsid w:val="00A506A1"/>
    <w:rsid w:val="00A50C9D"/>
    <w:rsid w:val="00A50DA2"/>
    <w:rsid w:val="00A51788"/>
    <w:rsid w:val="00A51BAC"/>
    <w:rsid w:val="00A51C7E"/>
    <w:rsid w:val="00A52008"/>
    <w:rsid w:val="00A52057"/>
    <w:rsid w:val="00A52654"/>
    <w:rsid w:val="00A52BA5"/>
    <w:rsid w:val="00A53199"/>
    <w:rsid w:val="00A5319C"/>
    <w:rsid w:val="00A532F9"/>
    <w:rsid w:val="00A53399"/>
    <w:rsid w:val="00A538A2"/>
    <w:rsid w:val="00A5393B"/>
    <w:rsid w:val="00A5483D"/>
    <w:rsid w:val="00A54A8F"/>
    <w:rsid w:val="00A55405"/>
    <w:rsid w:val="00A555C2"/>
    <w:rsid w:val="00A55C3F"/>
    <w:rsid w:val="00A55F41"/>
    <w:rsid w:val="00A561CE"/>
    <w:rsid w:val="00A562E9"/>
    <w:rsid w:val="00A56608"/>
    <w:rsid w:val="00A56D77"/>
    <w:rsid w:val="00A57271"/>
    <w:rsid w:val="00A575A1"/>
    <w:rsid w:val="00A57733"/>
    <w:rsid w:val="00A57999"/>
    <w:rsid w:val="00A607C1"/>
    <w:rsid w:val="00A61B15"/>
    <w:rsid w:val="00A62058"/>
    <w:rsid w:val="00A620C8"/>
    <w:rsid w:val="00A62C29"/>
    <w:rsid w:val="00A63213"/>
    <w:rsid w:val="00A632DA"/>
    <w:rsid w:val="00A636C1"/>
    <w:rsid w:val="00A63B47"/>
    <w:rsid w:val="00A6422B"/>
    <w:rsid w:val="00A645C8"/>
    <w:rsid w:val="00A64637"/>
    <w:rsid w:val="00A64D29"/>
    <w:rsid w:val="00A6541A"/>
    <w:rsid w:val="00A6552D"/>
    <w:rsid w:val="00A66186"/>
    <w:rsid w:val="00A66D92"/>
    <w:rsid w:val="00A67480"/>
    <w:rsid w:val="00A67BC5"/>
    <w:rsid w:val="00A70967"/>
    <w:rsid w:val="00A70AA3"/>
    <w:rsid w:val="00A711C3"/>
    <w:rsid w:val="00A7126F"/>
    <w:rsid w:val="00A72276"/>
    <w:rsid w:val="00A726B8"/>
    <w:rsid w:val="00A72CC1"/>
    <w:rsid w:val="00A7376B"/>
    <w:rsid w:val="00A738EC"/>
    <w:rsid w:val="00A73B58"/>
    <w:rsid w:val="00A73EEB"/>
    <w:rsid w:val="00A746E8"/>
    <w:rsid w:val="00A749FB"/>
    <w:rsid w:val="00A74AF2"/>
    <w:rsid w:val="00A74C73"/>
    <w:rsid w:val="00A74E23"/>
    <w:rsid w:val="00A75362"/>
    <w:rsid w:val="00A7577D"/>
    <w:rsid w:val="00A7587E"/>
    <w:rsid w:val="00A76156"/>
    <w:rsid w:val="00A7620F"/>
    <w:rsid w:val="00A76DA9"/>
    <w:rsid w:val="00A76DDD"/>
    <w:rsid w:val="00A80529"/>
    <w:rsid w:val="00A806A3"/>
    <w:rsid w:val="00A806DA"/>
    <w:rsid w:val="00A80C2A"/>
    <w:rsid w:val="00A8118B"/>
    <w:rsid w:val="00A81306"/>
    <w:rsid w:val="00A8162C"/>
    <w:rsid w:val="00A81C9A"/>
    <w:rsid w:val="00A822E2"/>
    <w:rsid w:val="00A825EC"/>
    <w:rsid w:val="00A82701"/>
    <w:rsid w:val="00A8279D"/>
    <w:rsid w:val="00A82E5B"/>
    <w:rsid w:val="00A82EE2"/>
    <w:rsid w:val="00A835BF"/>
    <w:rsid w:val="00A83614"/>
    <w:rsid w:val="00A83808"/>
    <w:rsid w:val="00A83C17"/>
    <w:rsid w:val="00A84497"/>
    <w:rsid w:val="00A84822"/>
    <w:rsid w:val="00A84D8B"/>
    <w:rsid w:val="00A855A8"/>
    <w:rsid w:val="00A85B33"/>
    <w:rsid w:val="00A86CEF"/>
    <w:rsid w:val="00A86E15"/>
    <w:rsid w:val="00A87398"/>
    <w:rsid w:val="00A876AD"/>
    <w:rsid w:val="00A90482"/>
    <w:rsid w:val="00A9124C"/>
    <w:rsid w:val="00A913F1"/>
    <w:rsid w:val="00A91AC7"/>
    <w:rsid w:val="00A92486"/>
    <w:rsid w:val="00A92A05"/>
    <w:rsid w:val="00A92E57"/>
    <w:rsid w:val="00A93111"/>
    <w:rsid w:val="00A938AA"/>
    <w:rsid w:val="00A943A6"/>
    <w:rsid w:val="00A94570"/>
    <w:rsid w:val="00A9459D"/>
    <w:rsid w:val="00A9486D"/>
    <w:rsid w:val="00A94A28"/>
    <w:rsid w:val="00A95302"/>
    <w:rsid w:val="00A9655A"/>
    <w:rsid w:val="00A969E9"/>
    <w:rsid w:val="00A9740C"/>
    <w:rsid w:val="00A97AAD"/>
    <w:rsid w:val="00A97D63"/>
    <w:rsid w:val="00AA064F"/>
    <w:rsid w:val="00AA0C4C"/>
    <w:rsid w:val="00AA1002"/>
    <w:rsid w:val="00AA35F2"/>
    <w:rsid w:val="00AA3D39"/>
    <w:rsid w:val="00AA3E85"/>
    <w:rsid w:val="00AA467E"/>
    <w:rsid w:val="00AA4B5E"/>
    <w:rsid w:val="00AA56D0"/>
    <w:rsid w:val="00AA5C8A"/>
    <w:rsid w:val="00AA6256"/>
    <w:rsid w:val="00AA715A"/>
    <w:rsid w:val="00AA7636"/>
    <w:rsid w:val="00AA7B15"/>
    <w:rsid w:val="00AB04DD"/>
    <w:rsid w:val="00AB0654"/>
    <w:rsid w:val="00AB07DF"/>
    <w:rsid w:val="00AB0AAF"/>
    <w:rsid w:val="00AB144E"/>
    <w:rsid w:val="00AB166C"/>
    <w:rsid w:val="00AB2613"/>
    <w:rsid w:val="00AB3093"/>
    <w:rsid w:val="00AB36E7"/>
    <w:rsid w:val="00AB37C0"/>
    <w:rsid w:val="00AB43E9"/>
    <w:rsid w:val="00AB449D"/>
    <w:rsid w:val="00AB5009"/>
    <w:rsid w:val="00AB5107"/>
    <w:rsid w:val="00AB5173"/>
    <w:rsid w:val="00AB54A9"/>
    <w:rsid w:val="00AB555D"/>
    <w:rsid w:val="00AB5B9B"/>
    <w:rsid w:val="00AB6249"/>
    <w:rsid w:val="00AB64B2"/>
    <w:rsid w:val="00AB6A1A"/>
    <w:rsid w:val="00AB6D1F"/>
    <w:rsid w:val="00AB7575"/>
    <w:rsid w:val="00AB78F6"/>
    <w:rsid w:val="00AB7DB3"/>
    <w:rsid w:val="00AC0D0B"/>
    <w:rsid w:val="00AC1653"/>
    <w:rsid w:val="00AC18C7"/>
    <w:rsid w:val="00AC2197"/>
    <w:rsid w:val="00AC248F"/>
    <w:rsid w:val="00AC2B6D"/>
    <w:rsid w:val="00AC39CB"/>
    <w:rsid w:val="00AC4947"/>
    <w:rsid w:val="00AC4990"/>
    <w:rsid w:val="00AC4A33"/>
    <w:rsid w:val="00AC50F2"/>
    <w:rsid w:val="00AC5302"/>
    <w:rsid w:val="00AC55E7"/>
    <w:rsid w:val="00AC580F"/>
    <w:rsid w:val="00AC5878"/>
    <w:rsid w:val="00AC5D69"/>
    <w:rsid w:val="00AC642C"/>
    <w:rsid w:val="00AC6589"/>
    <w:rsid w:val="00AC7701"/>
    <w:rsid w:val="00AD00CA"/>
    <w:rsid w:val="00AD03D8"/>
    <w:rsid w:val="00AD0C2D"/>
    <w:rsid w:val="00AD0E25"/>
    <w:rsid w:val="00AD0EBB"/>
    <w:rsid w:val="00AD12CD"/>
    <w:rsid w:val="00AD27CC"/>
    <w:rsid w:val="00AD2AEE"/>
    <w:rsid w:val="00AD2B37"/>
    <w:rsid w:val="00AD3202"/>
    <w:rsid w:val="00AD35D7"/>
    <w:rsid w:val="00AD3A19"/>
    <w:rsid w:val="00AD3E6A"/>
    <w:rsid w:val="00AD3EF9"/>
    <w:rsid w:val="00AD3F45"/>
    <w:rsid w:val="00AD4582"/>
    <w:rsid w:val="00AD4CF1"/>
    <w:rsid w:val="00AD4E4F"/>
    <w:rsid w:val="00AD503B"/>
    <w:rsid w:val="00AD52A7"/>
    <w:rsid w:val="00AD6A1F"/>
    <w:rsid w:val="00AD6B38"/>
    <w:rsid w:val="00AD71F1"/>
    <w:rsid w:val="00AE0A5D"/>
    <w:rsid w:val="00AE0F2F"/>
    <w:rsid w:val="00AE0FB0"/>
    <w:rsid w:val="00AE191B"/>
    <w:rsid w:val="00AE1A5B"/>
    <w:rsid w:val="00AE1CA9"/>
    <w:rsid w:val="00AE26E0"/>
    <w:rsid w:val="00AE2B18"/>
    <w:rsid w:val="00AE31B9"/>
    <w:rsid w:val="00AE335B"/>
    <w:rsid w:val="00AE342D"/>
    <w:rsid w:val="00AE3E8C"/>
    <w:rsid w:val="00AE3EA4"/>
    <w:rsid w:val="00AE4F29"/>
    <w:rsid w:val="00AE4FF5"/>
    <w:rsid w:val="00AE5415"/>
    <w:rsid w:val="00AE5E54"/>
    <w:rsid w:val="00AE68A3"/>
    <w:rsid w:val="00AE69AA"/>
    <w:rsid w:val="00AE6F6E"/>
    <w:rsid w:val="00AE74C2"/>
    <w:rsid w:val="00AE766D"/>
    <w:rsid w:val="00AF09B8"/>
    <w:rsid w:val="00AF10C4"/>
    <w:rsid w:val="00AF12C8"/>
    <w:rsid w:val="00AF13BF"/>
    <w:rsid w:val="00AF14B8"/>
    <w:rsid w:val="00AF1692"/>
    <w:rsid w:val="00AF17B7"/>
    <w:rsid w:val="00AF25FC"/>
    <w:rsid w:val="00AF268E"/>
    <w:rsid w:val="00AF27CF"/>
    <w:rsid w:val="00AF2DFB"/>
    <w:rsid w:val="00AF3029"/>
    <w:rsid w:val="00AF325F"/>
    <w:rsid w:val="00AF3283"/>
    <w:rsid w:val="00AF346C"/>
    <w:rsid w:val="00AF485E"/>
    <w:rsid w:val="00AF4EA1"/>
    <w:rsid w:val="00AF600E"/>
    <w:rsid w:val="00AF6223"/>
    <w:rsid w:val="00AF69BF"/>
    <w:rsid w:val="00AF6C34"/>
    <w:rsid w:val="00AF7862"/>
    <w:rsid w:val="00AF787C"/>
    <w:rsid w:val="00B004F4"/>
    <w:rsid w:val="00B00C7B"/>
    <w:rsid w:val="00B0140B"/>
    <w:rsid w:val="00B01B22"/>
    <w:rsid w:val="00B023EB"/>
    <w:rsid w:val="00B02A41"/>
    <w:rsid w:val="00B02BCF"/>
    <w:rsid w:val="00B03C65"/>
    <w:rsid w:val="00B03EC5"/>
    <w:rsid w:val="00B04176"/>
    <w:rsid w:val="00B051CB"/>
    <w:rsid w:val="00B05656"/>
    <w:rsid w:val="00B06105"/>
    <w:rsid w:val="00B063BF"/>
    <w:rsid w:val="00B067CC"/>
    <w:rsid w:val="00B06CDC"/>
    <w:rsid w:val="00B07E0C"/>
    <w:rsid w:val="00B10653"/>
    <w:rsid w:val="00B107D5"/>
    <w:rsid w:val="00B10E72"/>
    <w:rsid w:val="00B111B2"/>
    <w:rsid w:val="00B118C9"/>
    <w:rsid w:val="00B1191C"/>
    <w:rsid w:val="00B122A3"/>
    <w:rsid w:val="00B126F4"/>
    <w:rsid w:val="00B12F13"/>
    <w:rsid w:val="00B12FEF"/>
    <w:rsid w:val="00B130CA"/>
    <w:rsid w:val="00B13CAB"/>
    <w:rsid w:val="00B14AF7"/>
    <w:rsid w:val="00B14D9E"/>
    <w:rsid w:val="00B15E80"/>
    <w:rsid w:val="00B1639D"/>
    <w:rsid w:val="00B169D4"/>
    <w:rsid w:val="00B1774B"/>
    <w:rsid w:val="00B17987"/>
    <w:rsid w:val="00B17D1C"/>
    <w:rsid w:val="00B20ADD"/>
    <w:rsid w:val="00B20C64"/>
    <w:rsid w:val="00B210F3"/>
    <w:rsid w:val="00B2122A"/>
    <w:rsid w:val="00B21FE0"/>
    <w:rsid w:val="00B22324"/>
    <w:rsid w:val="00B2292D"/>
    <w:rsid w:val="00B22945"/>
    <w:rsid w:val="00B22D5A"/>
    <w:rsid w:val="00B233E4"/>
    <w:rsid w:val="00B236C5"/>
    <w:rsid w:val="00B23DB5"/>
    <w:rsid w:val="00B23ED4"/>
    <w:rsid w:val="00B24E43"/>
    <w:rsid w:val="00B2508F"/>
    <w:rsid w:val="00B257D1"/>
    <w:rsid w:val="00B25BDF"/>
    <w:rsid w:val="00B2640B"/>
    <w:rsid w:val="00B265FD"/>
    <w:rsid w:val="00B270F7"/>
    <w:rsid w:val="00B27765"/>
    <w:rsid w:val="00B27E35"/>
    <w:rsid w:val="00B3094C"/>
    <w:rsid w:val="00B30EEE"/>
    <w:rsid w:val="00B31555"/>
    <w:rsid w:val="00B31624"/>
    <w:rsid w:val="00B31631"/>
    <w:rsid w:val="00B319CF"/>
    <w:rsid w:val="00B31B8D"/>
    <w:rsid w:val="00B3234C"/>
    <w:rsid w:val="00B3278A"/>
    <w:rsid w:val="00B329C8"/>
    <w:rsid w:val="00B32A80"/>
    <w:rsid w:val="00B32BA1"/>
    <w:rsid w:val="00B32DCC"/>
    <w:rsid w:val="00B338D3"/>
    <w:rsid w:val="00B34018"/>
    <w:rsid w:val="00B34317"/>
    <w:rsid w:val="00B3469A"/>
    <w:rsid w:val="00B34A5F"/>
    <w:rsid w:val="00B34B8F"/>
    <w:rsid w:val="00B34F63"/>
    <w:rsid w:val="00B35936"/>
    <w:rsid w:val="00B35B7D"/>
    <w:rsid w:val="00B35B92"/>
    <w:rsid w:val="00B35F80"/>
    <w:rsid w:val="00B35F90"/>
    <w:rsid w:val="00B362FE"/>
    <w:rsid w:val="00B373A6"/>
    <w:rsid w:val="00B37466"/>
    <w:rsid w:val="00B37ADD"/>
    <w:rsid w:val="00B37C0F"/>
    <w:rsid w:val="00B37C94"/>
    <w:rsid w:val="00B40446"/>
    <w:rsid w:val="00B40915"/>
    <w:rsid w:val="00B40A23"/>
    <w:rsid w:val="00B40BB4"/>
    <w:rsid w:val="00B40BF3"/>
    <w:rsid w:val="00B40D96"/>
    <w:rsid w:val="00B40E91"/>
    <w:rsid w:val="00B41020"/>
    <w:rsid w:val="00B41148"/>
    <w:rsid w:val="00B41DB5"/>
    <w:rsid w:val="00B4201E"/>
    <w:rsid w:val="00B427AE"/>
    <w:rsid w:val="00B42C7F"/>
    <w:rsid w:val="00B42DCB"/>
    <w:rsid w:val="00B42E8D"/>
    <w:rsid w:val="00B42F19"/>
    <w:rsid w:val="00B43204"/>
    <w:rsid w:val="00B44844"/>
    <w:rsid w:val="00B448F0"/>
    <w:rsid w:val="00B44B78"/>
    <w:rsid w:val="00B44B88"/>
    <w:rsid w:val="00B44BFA"/>
    <w:rsid w:val="00B44D93"/>
    <w:rsid w:val="00B450C5"/>
    <w:rsid w:val="00B4512A"/>
    <w:rsid w:val="00B459E2"/>
    <w:rsid w:val="00B45FD7"/>
    <w:rsid w:val="00B45FD8"/>
    <w:rsid w:val="00B46358"/>
    <w:rsid w:val="00B46C58"/>
    <w:rsid w:val="00B46E29"/>
    <w:rsid w:val="00B47189"/>
    <w:rsid w:val="00B4780C"/>
    <w:rsid w:val="00B47B01"/>
    <w:rsid w:val="00B5101B"/>
    <w:rsid w:val="00B511E2"/>
    <w:rsid w:val="00B51C2C"/>
    <w:rsid w:val="00B525AF"/>
    <w:rsid w:val="00B5322B"/>
    <w:rsid w:val="00B5388C"/>
    <w:rsid w:val="00B549C4"/>
    <w:rsid w:val="00B5553E"/>
    <w:rsid w:val="00B55619"/>
    <w:rsid w:val="00B55949"/>
    <w:rsid w:val="00B55C78"/>
    <w:rsid w:val="00B562EF"/>
    <w:rsid w:val="00B5648D"/>
    <w:rsid w:val="00B56A58"/>
    <w:rsid w:val="00B56A6D"/>
    <w:rsid w:val="00B56B23"/>
    <w:rsid w:val="00B5745F"/>
    <w:rsid w:val="00B57AA0"/>
    <w:rsid w:val="00B57D6F"/>
    <w:rsid w:val="00B57E33"/>
    <w:rsid w:val="00B60A5F"/>
    <w:rsid w:val="00B60CB8"/>
    <w:rsid w:val="00B60FE9"/>
    <w:rsid w:val="00B61162"/>
    <w:rsid w:val="00B615E4"/>
    <w:rsid w:val="00B61E2F"/>
    <w:rsid w:val="00B623B1"/>
    <w:rsid w:val="00B6278A"/>
    <w:rsid w:val="00B628A7"/>
    <w:rsid w:val="00B63638"/>
    <w:rsid w:val="00B647CB"/>
    <w:rsid w:val="00B64D56"/>
    <w:rsid w:val="00B664E2"/>
    <w:rsid w:val="00B6656F"/>
    <w:rsid w:val="00B66883"/>
    <w:rsid w:val="00B67574"/>
    <w:rsid w:val="00B675D3"/>
    <w:rsid w:val="00B67633"/>
    <w:rsid w:val="00B67672"/>
    <w:rsid w:val="00B676C7"/>
    <w:rsid w:val="00B67966"/>
    <w:rsid w:val="00B67DF8"/>
    <w:rsid w:val="00B67E5B"/>
    <w:rsid w:val="00B70178"/>
    <w:rsid w:val="00B7139F"/>
    <w:rsid w:val="00B719EF"/>
    <w:rsid w:val="00B71B78"/>
    <w:rsid w:val="00B7212F"/>
    <w:rsid w:val="00B72B5D"/>
    <w:rsid w:val="00B73786"/>
    <w:rsid w:val="00B73F6B"/>
    <w:rsid w:val="00B73FBD"/>
    <w:rsid w:val="00B74B55"/>
    <w:rsid w:val="00B74BC2"/>
    <w:rsid w:val="00B75364"/>
    <w:rsid w:val="00B75530"/>
    <w:rsid w:val="00B75680"/>
    <w:rsid w:val="00B757F5"/>
    <w:rsid w:val="00B75BE0"/>
    <w:rsid w:val="00B76075"/>
    <w:rsid w:val="00B76176"/>
    <w:rsid w:val="00B76221"/>
    <w:rsid w:val="00B763FA"/>
    <w:rsid w:val="00B7666C"/>
    <w:rsid w:val="00B76E0E"/>
    <w:rsid w:val="00B7707D"/>
    <w:rsid w:val="00B77226"/>
    <w:rsid w:val="00B77935"/>
    <w:rsid w:val="00B806D5"/>
    <w:rsid w:val="00B81614"/>
    <w:rsid w:val="00B8167C"/>
    <w:rsid w:val="00B81ED4"/>
    <w:rsid w:val="00B8258B"/>
    <w:rsid w:val="00B82A10"/>
    <w:rsid w:val="00B82C6F"/>
    <w:rsid w:val="00B84443"/>
    <w:rsid w:val="00B8450E"/>
    <w:rsid w:val="00B8488A"/>
    <w:rsid w:val="00B852CF"/>
    <w:rsid w:val="00B855C7"/>
    <w:rsid w:val="00B857D1"/>
    <w:rsid w:val="00B86036"/>
    <w:rsid w:val="00B86577"/>
    <w:rsid w:val="00B86631"/>
    <w:rsid w:val="00B877CA"/>
    <w:rsid w:val="00B87AF1"/>
    <w:rsid w:val="00B87B18"/>
    <w:rsid w:val="00B901EB"/>
    <w:rsid w:val="00B91332"/>
    <w:rsid w:val="00B9147C"/>
    <w:rsid w:val="00B915D6"/>
    <w:rsid w:val="00B91C20"/>
    <w:rsid w:val="00B92677"/>
    <w:rsid w:val="00B9278C"/>
    <w:rsid w:val="00B92F0C"/>
    <w:rsid w:val="00B93FF1"/>
    <w:rsid w:val="00B94532"/>
    <w:rsid w:val="00B94646"/>
    <w:rsid w:val="00B949A7"/>
    <w:rsid w:val="00B94B9A"/>
    <w:rsid w:val="00B95AF8"/>
    <w:rsid w:val="00B95EEE"/>
    <w:rsid w:val="00B9637D"/>
    <w:rsid w:val="00B9663F"/>
    <w:rsid w:val="00B969BD"/>
    <w:rsid w:val="00B97272"/>
    <w:rsid w:val="00B97290"/>
    <w:rsid w:val="00B97538"/>
    <w:rsid w:val="00B97733"/>
    <w:rsid w:val="00B97B70"/>
    <w:rsid w:val="00BA0DA5"/>
    <w:rsid w:val="00BA1713"/>
    <w:rsid w:val="00BA1D23"/>
    <w:rsid w:val="00BA1DCD"/>
    <w:rsid w:val="00BA20DF"/>
    <w:rsid w:val="00BA241E"/>
    <w:rsid w:val="00BA299B"/>
    <w:rsid w:val="00BA2D95"/>
    <w:rsid w:val="00BA2FC4"/>
    <w:rsid w:val="00BA36DD"/>
    <w:rsid w:val="00BA3A18"/>
    <w:rsid w:val="00BA3B40"/>
    <w:rsid w:val="00BA415E"/>
    <w:rsid w:val="00BA4E23"/>
    <w:rsid w:val="00BA5745"/>
    <w:rsid w:val="00BA5782"/>
    <w:rsid w:val="00BA5911"/>
    <w:rsid w:val="00BA6759"/>
    <w:rsid w:val="00BA698F"/>
    <w:rsid w:val="00BA6C2E"/>
    <w:rsid w:val="00BA6D06"/>
    <w:rsid w:val="00BA6DDD"/>
    <w:rsid w:val="00BA7013"/>
    <w:rsid w:val="00BA70C9"/>
    <w:rsid w:val="00BA77C1"/>
    <w:rsid w:val="00BA7944"/>
    <w:rsid w:val="00BA7DAF"/>
    <w:rsid w:val="00BB0186"/>
    <w:rsid w:val="00BB0B0C"/>
    <w:rsid w:val="00BB12DE"/>
    <w:rsid w:val="00BB13DE"/>
    <w:rsid w:val="00BB16A5"/>
    <w:rsid w:val="00BB21B9"/>
    <w:rsid w:val="00BB229C"/>
    <w:rsid w:val="00BB291B"/>
    <w:rsid w:val="00BB2AF2"/>
    <w:rsid w:val="00BB2AF3"/>
    <w:rsid w:val="00BB2C41"/>
    <w:rsid w:val="00BB2DDB"/>
    <w:rsid w:val="00BB3077"/>
    <w:rsid w:val="00BB31E4"/>
    <w:rsid w:val="00BB3A85"/>
    <w:rsid w:val="00BB4031"/>
    <w:rsid w:val="00BB408F"/>
    <w:rsid w:val="00BB4730"/>
    <w:rsid w:val="00BB475B"/>
    <w:rsid w:val="00BB4F09"/>
    <w:rsid w:val="00BB55BB"/>
    <w:rsid w:val="00BB5609"/>
    <w:rsid w:val="00BB58DB"/>
    <w:rsid w:val="00BB6735"/>
    <w:rsid w:val="00BB738E"/>
    <w:rsid w:val="00BB7930"/>
    <w:rsid w:val="00BB79B5"/>
    <w:rsid w:val="00BC0003"/>
    <w:rsid w:val="00BC019B"/>
    <w:rsid w:val="00BC0337"/>
    <w:rsid w:val="00BC05DA"/>
    <w:rsid w:val="00BC0B62"/>
    <w:rsid w:val="00BC0E07"/>
    <w:rsid w:val="00BC1115"/>
    <w:rsid w:val="00BC1136"/>
    <w:rsid w:val="00BC15AF"/>
    <w:rsid w:val="00BC1686"/>
    <w:rsid w:val="00BC1909"/>
    <w:rsid w:val="00BC2CE4"/>
    <w:rsid w:val="00BC2F90"/>
    <w:rsid w:val="00BC3252"/>
    <w:rsid w:val="00BC3EAE"/>
    <w:rsid w:val="00BC517B"/>
    <w:rsid w:val="00BC5646"/>
    <w:rsid w:val="00BC5856"/>
    <w:rsid w:val="00BC5C95"/>
    <w:rsid w:val="00BC5D0F"/>
    <w:rsid w:val="00BC60E5"/>
    <w:rsid w:val="00BC6250"/>
    <w:rsid w:val="00BC651C"/>
    <w:rsid w:val="00BC66CC"/>
    <w:rsid w:val="00BC6809"/>
    <w:rsid w:val="00BC6E5B"/>
    <w:rsid w:val="00BC7AFA"/>
    <w:rsid w:val="00BC7C55"/>
    <w:rsid w:val="00BD018C"/>
    <w:rsid w:val="00BD17D8"/>
    <w:rsid w:val="00BD1F22"/>
    <w:rsid w:val="00BD2A25"/>
    <w:rsid w:val="00BD2CE6"/>
    <w:rsid w:val="00BD32BC"/>
    <w:rsid w:val="00BD3BB4"/>
    <w:rsid w:val="00BD3E75"/>
    <w:rsid w:val="00BD4603"/>
    <w:rsid w:val="00BD47DD"/>
    <w:rsid w:val="00BD4A8E"/>
    <w:rsid w:val="00BD50F9"/>
    <w:rsid w:val="00BD51BD"/>
    <w:rsid w:val="00BD5548"/>
    <w:rsid w:val="00BD61B0"/>
    <w:rsid w:val="00BD6384"/>
    <w:rsid w:val="00BD6692"/>
    <w:rsid w:val="00BD6B40"/>
    <w:rsid w:val="00BD7044"/>
    <w:rsid w:val="00BE0689"/>
    <w:rsid w:val="00BE092E"/>
    <w:rsid w:val="00BE0F80"/>
    <w:rsid w:val="00BE12F6"/>
    <w:rsid w:val="00BE1A3A"/>
    <w:rsid w:val="00BE1EFC"/>
    <w:rsid w:val="00BE1F91"/>
    <w:rsid w:val="00BE20C6"/>
    <w:rsid w:val="00BE23AD"/>
    <w:rsid w:val="00BE2518"/>
    <w:rsid w:val="00BE2536"/>
    <w:rsid w:val="00BE268F"/>
    <w:rsid w:val="00BE2E0A"/>
    <w:rsid w:val="00BE3242"/>
    <w:rsid w:val="00BE355B"/>
    <w:rsid w:val="00BE398F"/>
    <w:rsid w:val="00BE404A"/>
    <w:rsid w:val="00BE4528"/>
    <w:rsid w:val="00BE46A0"/>
    <w:rsid w:val="00BE479C"/>
    <w:rsid w:val="00BE493D"/>
    <w:rsid w:val="00BE4E0D"/>
    <w:rsid w:val="00BE4E94"/>
    <w:rsid w:val="00BE52B2"/>
    <w:rsid w:val="00BE5338"/>
    <w:rsid w:val="00BE5767"/>
    <w:rsid w:val="00BE57F7"/>
    <w:rsid w:val="00BE61AC"/>
    <w:rsid w:val="00BE6899"/>
    <w:rsid w:val="00BE6DF9"/>
    <w:rsid w:val="00BE6F24"/>
    <w:rsid w:val="00BE709D"/>
    <w:rsid w:val="00BE73ED"/>
    <w:rsid w:val="00BE7A05"/>
    <w:rsid w:val="00BE7B89"/>
    <w:rsid w:val="00BE7C79"/>
    <w:rsid w:val="00BF023F"/>
    <w:rsid w:val="00BF072B"/>
    <w:rsid w:val="00BF0DA1"/>
    <w:rsid w:val="00BF0E1F"/>
    <w:rsid w:val="00BF0F68"/>
    <w:rsid w:val="00BF1F0C"/>
    <w:rsid w:val="00BF2013"/>
    <w:rsid w:val="00BF3985"/>
    <w:rsid w:val="00BF3AAE"/>
    <w:rsid w:val="00BF4E1E"/>
    <w:rsid w:val="00BF5D6E"/>
    <w:rsid w:val="00BF659D"/>
    <w:rsid w:val="00BF6BC8"/>
    <w:rsid w:val="00BF71F2"/>
    <w:rsid w:val="00BF727C"/>
    <w:rsid w:val="00BF770C"/>
    <w:rsid w:val="00BF7812"/>
    <w:rsid w:val="00BF7BD4"/>
    <w:rsid w:val="00C0068C"/>
    <w:rsid w:val="00C006A1"/>
    <w:rsid w:val="00C009E5"/>
    <w:rsid w:val="00C00F22"/>
    <w:rsid w:val="00C01809"/>
    <w:rsid w:val="00C03281"/>
    <w:rsid w:val="00C04204"/>
    <w:rsid w:val="00C042F6"/>
    <w:rsid w:val="00C04303"/>
    <w:rsid w:val="00C04385"/>
    <w:rsid w:val="00C0523C"/>
    <w:rsid w:val="00C059F2"/>
    <w:rsid w:val="00C0606A"/>
    <w:rsid w:val="00C062AD"/>
    <w:rsid w:val="00C07015"/>
    <w:rsid w:val="00C07467"/>
    <w:rsid w:val="00C07580"/>
    <w:rsid w:val="00C0763C"/>
    <w:rsid w:val="00C07F1A"/>
    <w:rsid w:val="00C102EA"/>
    <w:rsid w:val="00C1046E"/>
    <w:rsid w:val="00C1199F"/>
    <w:rsid w:val="00C11B17"/>
    <w:rsid w:val="00C11C7D"/>
    <w:rsid w:val="00C12AE3"/>
    <w:rsid w:val="00C12B64"/>
    <w:rsid w:val="00C13025"/>
    <w:rsid w:val="00C13034"/>
    <w:rsid w:val="00C13EFF"/>
    <w:rsid w:val="00C140EC"/>
    <w:rsid w:val="00C14C03"/>
    <w:rsid w:val="00C152FA"/>
    <w:rsid w:val="00C1575C"/>
    <w:rsid w:val="00C15A8D"/>
    <w:rsid w:val="00C15FB8"/>
    <w:rsid w:val="00C16458"/>
    <w:rsid w:val="00C1659D"/>
    <w:rsid w:val="00C1701B"/>
    <w:rsid w:val="00C17104"/>
    <w:rsid w:val="00C17260"/>
    <w:rsid w:val="00C17691"/>
    <w:rsid w:val="00C17B4B"/>
    <w:rsid w:val="00C203D2"/>
    <w:rsid w:val="00C2091C"/>
    <w:rsid w:val="00C20AAA"/>
    <w:rsid w:val="00C20E8F"/>
    <w:rsid w:val="00C210EB"/>
    <w:rsid w:val="00C21305"/>
    <w:rsid w:val="00C217A2"/>
    <w:rsid w:val="00C21AFA"/>
    <w:rsid w:val="00C21BF6"/>
    <w:rsid w:val="00C21C3D"/>
    <w:rsid w:val="00C226D4"/>
    <w:rsid w:val="00C23225"/>
    <w:rsid w:val="00C239D3"/>
    <w:rsid w:val="00C23FEA"/>
    <w:rsid w:val="00C247FD"/>
    <w:rsid w:val="00C249C7"/>
    <w:rsid w:val="00C24D56"/>
    <w:rsid w:val="00C24DDA"/>
    <w:rsid w:val="00C25531"/>
    <w:rsid w:val="00C25727"/>
    <w:rsid w:val="00C25DB9"/>
    <w:rsid w:val="00C264CD"/>
    <w:rsid w:val="00C264E0"/>
    <w:rsid w:val="00C269F1"/>
    <w:rsid w:val="00C27277"/>
    <w:rsid w:val="00C27953"/>
    <w:rsid w:val="00C3089A"/>
    <w:rsid w:val="00C30AFA"/>
    <w:rsid w:val="00C30B77"/>
    <w:rsid w:val="00C316FD"/>
    <w:rsid w:val="00C31943"/>
    <w:rsid w:val="00C31EF5"/>
    <w:rsid w:val="00C3245A"/>
    <w:rsid w:val="00C333A6"/>
    <w:rsid w:val="00C33B71"/>
    <w:rsid w:val="00C3469F"/>
    <w:rsid w:val="00C34B7C"/>
    <w:rsid w:val="00C34B7E"/>
    <w:rsid w:val="00C354C0"/>
    <w:rsid w:val="00C3564C"/>
    <w:rsid w:val="00C35A68"/>
    <w:rsid w:val="00C35F5D"/>
    <w:rsid w:val="00C37C58"/>
    <w:rsid w:val="00C37DE0"/>
    <w:rsid w:val="00C4048F"/>
    <w:rsid w:val="00C4072C"/>
    <w:rsid w:val="00C40B15"/>
    <w:rsid w:val="00C41168"/>
    <w:rsid w:val="00C41EA1"/>
    <w:rsid w:val="00C4200F"/>
    <w:rsid w:val="00C42588"/>
    <w:rsid w:val="00C425DD"/>
    <w:rsid w:val="00C4346A"/>
    <w:rsid w:val="00C437F1"/>
    <w:rsid w:val="00C43FB2"/>
    <w:rsid w:val="00C44212"/>
    <w:rsid w:val="00C445A9"/>
    <w:rsid w:val="00C44794"/>
    <w:rsid w:val="00C44951"/>
    <w:rsid w:val="00C45128"/>
    <w:rsid w:val="00C4546B"/>
    <w:rsid w:val="00C4558C"/>
    <w:rsid w:val="00C45746"/>
    <w:rsid w:val="00C45B80"/>
    <w:rsid w:val="00C4654B"/>
    <w:rsid w:val="00C46B51"/>
    <w:rsid w:val="00C474F5"/>
    <w:rsid w:val="00C476AE"/>
    <w:rsid w:val="00C479B1"/>
    <w:rsid w:val="00C47AC5"/>
    <w:rsid w:val="00C504EC"/>
    <w:rsid w:val="00C50800"/>
    <w:rsid w:val="00C51F4F"/>
    <w:rsid w:val="00C52403"/>
    <w:rsid w:val="00C5303E"/>
    <w:rsid w:val="00C5306A"/>
    <w:rsid w:val="00C5338C"/>
    <w:rsid w:val="00C533CB"/>
    <w:rsid w:val="00C53A99"/>
    <w:rsid w:val="00C53D16"/>
    <w:rsid w:val="00C54093"/>
    <w:rsid w:val="00C5467A"/>
    <w:rsid w:val="00C54E1A"/>
    <w:rsid w:val="00C5555C"/>
    <w:rsid w:val="00C55AE1"/>
    <w:rsid w:val="00C561FE"/>
    <w:rsid w:val="00C56C3D"/>
    <w:rsid w:val="00C60F40"/>
    <w:rsid w:val="00C61204"/>
    <w:rsid w:val="00C6172F"/>
    <w:rsid w:val="00C61875"/>
    <w:rsid w:val="00C62296"/>
    <w:rsid w:val="00C629D9"/>
    <w:rsid w:val="00C62CE3"/>
    <w:rsid w:val="00C63045"/>
    <w:rsid w:val="00C6327E"/>
    <w:rsid w:val="00C632E5"/>
    <w:rsid w:val="00C640B7"/>
    <w:rsid w:val="00C648E5"/>
    <w:rsid w:val="00C64B75"/>
    <w:rsid w:val="00C64BCE"/>
    <w:rsid w:val="00C64E3F"/>
    <w:rsid w:val="00C6547D"/>
    <w:rsid w:val="00C656D3"/>
    <w:rsid w:val="00C65B4A"/>
    <w:rsid w:val="00C6659A"/>
    <w:rsid w:val="00C67319"/>
    <w:rsid w:val="00C67B7A"/>
    <w:rsid w:val="00C67FDE"/>
    <w:rsid w:val="00C70124"/>
    <w:rsid w:val="00C7079B"/>
    <w:rsid w:val="00C7143A"/>
    <w:rsid w:val="00C7148E"/>
    <w:rsid w:val="00C71A43"/>
    <w:rsid w:val="00C71E0A"/>
    <w:rsid w:val="00C71FB5"/>
    <w:rsid w:val="00C723F4"/>
    <w:rsid w:val="00C72939"/>
    <w:rsid w:val="00C72D19"/>
    <w:rsid w:val="00C72E29"/>
    <w:rsid w:val="00C72ED9"/>
    <w:rsid w:val="00C73A91"/>
    <w:rsid w:val="00C73F89"/>
    <w:rsid w:val="00C7414F"/>
    <w:rsid w:val="00C74955"/>
    <w:rsid w:val="00C74F5B"/>
    <w:rsid w:val="00C761B9"/>
    <w:rsid w:val="00C7627F"/>
    <w:rsid w:val="00C7628F"/>
    <w:rsid w:val="00C76515"/>
    <w:rsid w:val="00C7708F"/>
    <w:rsid w:val="00C778DC"/>
    <w:rsid w:val="00C77D70"/>
    <w:rsid w:val="00C80593"/>
    <w:rsid w:val="00C80D74"/>
    <w:rsid w:val="00C815D2"/>
    <w:rsid w:val="00C816A3"/>
    <w:rsid w:val="00C816EA"/>
    <w:rsid w:val="00C81790"/>
    <w:rsid w:val="00C82154"/>
    <w:rsid w:val="00C821CD"/>
    <w:rsid w:val="00C82398"/>
    <w:rsid w:val="00C82FFC"/>
    <w:rsid w:val="00C83A92"/>
    <w:rsid w:val="00C83A99"/>
    <w:rsid w:val="00C83DF5"/>
    <w:rsid w:val="00C845C8"/>
    <w:rsid w:val="00C84E0E"/>
    <w:rsid w:val="00C85203"/>
    <w:rsid w:val="00C8603B"/>
    <w:rsid w:val="00C8605A"/>
    <w:rsid w:val="00C861E5"/>
    <w:rsid w:val="00C86291"/>
    <w:rsid w:val="00C864C3"/>
    <w:rsid w:val="00C86E4D"/>
    <w:rsid w:val="00C8734E"/>
    <w:rsid w:val="00C876A0"/>
    <w:rsid w:val="00C87AF8"/>
    <w:rsid w:val="00C87D2C"/>
    <w:rsid w:val="00C904E5"/>
    <w:rsid w:val="00C90DD8"/>
    <w:rsid w:val="00C90E6C"/>
    <w:rsid w:val="00C915EC"/>
    <w:rsid w:val="00C917BA"/>
    <w:rsid w:val="00C91C7B"/>
    <w:rsid w:val="00C9201C"/>
    <w:rsid w:val="00C924EF"/>
    <w:rsid w:val="00C92659"/>
    <w:rsid w:val="00C92D46"/>
    <w:rsid w:val="00C934F6"/>
    <w:rsid w:val="00C93600"/>
    <w:rsid w:val="00C9428A"/>
    <w:rsid w:val="00C9438E"/>
    <w:rsid w:val="00C94F2E"/>
    <w:rsid w:val="00C94F4E"/>
    <w:rsid w:val="00C951F0"/>
    <w:rsid w:val="00C95BAE"/>
    <w:rsid w:val="00C95DE3"/>
    <w:rsid w:val="00C966A1"/>
    <w:rsid w:val="00C96B30"/>
    <w:rsid w:val="00C97886"/>
    <w:rsid w:val="00C979D5"/>
    <w:rsid w:val="00C97D1D"/>
    <w:rsid w:val="00CA1010"/>
    <w:rsid w:val="00CA1353"/>
    <w:rsid w:val="00CA1D3C"/>
    <w:rsid w:val="00CA1FD5"/>
    <w:rsid w:val="00CA25EE"/>
    <w:rsid w:val="00CA28DC"/>
    <w:rsid w:val="00CA3824"/>
    <w:rsid w:val="00CA41CF"/>
    <w:rsid w:val="00CA42E0"/>
    <w:rsid w:val="00CA437E"/>
    <w:rsid w:val="00CA4570"/>
    <w:rsid w:val="00CA4F9E"/>
    <w:rsid w:val="00CA5782"/>
    <w:rsid w:val="00CB0995"/>
    <w:rsid w:val="00CB0BA7"/>
    <w:rsid w:val="00CB0E08"/>
    <w:rsid w:val="00CB106C"/>
    <w:rsid w:val="00CB1380"/>
    <w:rsid w:val="00CB2475"/>
    <w:rsid w:val="00CB250B"/>
    <w:rsid w:val="00CB252B"/>
    <w:rsid w:val="00CB26A7"/>
    <w:rsid w:val="00CB2733"/>
    <w:rsid w:val="00CB2936"/>
    <w:rsid w:val="00CB35D6"/>
    <w:rsid w:val="00CB383A"/>
    <w:rsid w:val="00CB3C09"/>
    <w:rsid w:val="00CB3D8A"/>
    <w:rsid w:val="00CB3E4F"/>
    <w:rsid w:val="00CB4123"/>
    <w:rsid w:val="00CB414A"/>
    <w:rsid w:val="00CB4347"/>
    <w:rsid w:val="00CB4379"/>
    <w:rsid w:val="00CB47AA"/>
    <w:rsid w:val="00CB4858"/>
    <w:rsid w:val="00CB49E7"/>
    <w:rsid w:val="00CB4A79"/>
    <w:rsid w:val="00CB4AB3"/>
    <w:rsid w:val="00CB56B0"/>
    <w:rsid w:val="00CB59CB"/>
    <w:rsid w:val="00CB5B76"/>
    <w:rsid w:val="00CB6570"/>
    <w:rsid w:val="00CB67B1"/>
    <w:rsid w:val="00CB68AB"/>
    <w:rsid w:val="00CB6A5A"/>
    <w:rsid w:val="00CB6DDD"/>
    <w:rsid w:val="00CB7310"/>
    <w:rsid w:val="00CB7328"/>
    <w:rsid w:val="00CB7695"/>
    <w:rsid w:val="00CB7EED"/>
    <w:rsid w:val="00CC0218"/>
    <w:rsid w:val="00CC0346"/>
    <w:rsid w:val="00CC035E"/>
    <w:rsid w:val="00CC07DE"/>
    <w:rsid w:val="00CC09F0"/>
    <w:rsid w:val="00CC0C1A"/>
    <w:rsid w:val="00CC0C54"/>
    <w:rsid w:val="00CC0D61"/>
    <w:rsid w:val="00CC0DA0"/>
    <w:rsid w:val="00CC0F4C"/>
    <w:rsid w:val="00CC13C1"/>
    <w:rsid w:val="00CC13F7"/>
    <w:rsid w:val="00CC232D"/>
    <w:rsid w:val="00CC25AB"/>
    <w:rsid w:val="00CC27D2"/>
    <w:rsid w:val="00CC2A16"/>
    <w:rsid w:val="00CC2A9E"/>
    <w:rsid w:val="00CC320D"/>
    <w:rsid w:val="00CC34A2"/>
    <w:rsid w:val="00CC364B"/>
    <w:rsid w:val="00CC3AA8"/>
    <w:rsid w:val="00CC424F"/>
    <w:rsid w:val="00CC446B"/>
    <w:rsid w:val="00CC48A9"/>
    <w:rsid w:val="00CC66D9"/>
    <w:rsid w:val="00CC6736"/>
    <w:rsid w:val="00CC68CD"/>
    <w:rsid w:val="00CC6B68"/>
    <w:rsid w:val="00CC6DEC"/>
    <w:rsid w:val="00CC6F6D"/>
    <w:rsid w:val="00CC7F21"/>
    <w:rsid w:val="00CD035F"/>
    <w:rsid w:val="00CD04CD"/>
    <w:rsid w:val="00CD0784"/>
    <w:rsid w:val="00CD0822"/>
    <w:rsid w:val="00CD0A97"/>
    <w:rsid w:val="00CD104D"/>
    <w:rsid w:val="00CD1092"/>
    <w:rsid w:val="00CD2059"/>
    <w:rsid w:val="00CD219D"/>
    <w:rsid w:val="00CD247C"/>
    <w:rsid w:val="00CD26CA"/>
    <w:rsid w:val="00CD2BFB"/>
    <w:rsid w:val="00CD3422"/>
    <w:rsid w:val="00CD3537"/>
    <w:rsid w:val="00CD410D"/>
    <w:rsid w:val="00CD4866"/>
    <w:rsid w:val="00CD4C79"/>
    <w:rsid w:val="00CD51E0"/>
    <w:rsid w:val="00CD5D11"/>
    <w:rsid w:val="00CD5F0C"/>
    <w:rsid w:val="00CD643C"/>
    <w:rsid w:val="00CD6490"/>
    <w:rsid w:val="00CD664B"/>
    <w:rsid w:val="00CD6ECC"/>
    <w:rsid w:val="00CD7642"/>
    <w:rsid w:val="00CD7687"/>
    <w:rsid w:val="00CD7C9E"/>
    <w:rsid w:val="00CD7F5D"/>
    <w:rsid w:val="00CE0419"/>
    <w:rsid w:val="00CE0A14"/>
    <w:rsid w:val="00CE10E6"/>
    <w:rsid w:val="00CE1433"/>
    <w:rsid w:val="00CE14FB"/>
    <w:rsid w:val="00CE1850"/>
    <w:rsid w:val="00CE187E"/>
    <w:rsid w:val="00CE18BF"/>
    <w:rsid w:val="00CE1B02"/>
    <w:rsid w:val="00CE1E6D"/>
    <w:rsid w:val="00CE2232"/>
    <w:rsid w:val="00CE2666"/>
    <w:rsid w:val="00CE3723"/>
    <w:rsid w:val="00CE3B3E"/>
    <w:rsid w:val="00CE4102"/>
    <w:rsid w:val="00CE4368"/>
    <w:rsid w:val="00CE4B9C"/>
    <w:rsid w:val="00CE529B"/>
    <w:rsid w:val="00CE581A"/>
    <w:rsid w:val="00CE6020"/>
    <w:rsid w:val="00CE7030"/>
    <w:rsid w:val="00CE7231"/>
    <w:rsid w:val="00CE75B0"/>
    <w:rsid w:val="00CF0469"/>
    <w:rsid w:val="00CF0CCA"/>
    <w:rsid w:val="00CF1A29"/>
    <w:rsid w:val="00CF21F2"/>
    <w:rsid w:val="00CF2588"/>
    <w:rsid w:val="00CF2B4A"/>
    <w:rsid w:val="00CF3269"/>
    <w:rsid w:val="00CF3C5C"/>
    <w:rsid w:val="00CF3CB1"/>
    <w:rsid w:val="00CF3FAC"/>
    <w:rsid w:val="00CF419A"/>
    <w:rsid w:val="00CF440D"/>
    <w:rsid w:val="00CF48AD"/>
    <w:rsid w:val="00CF48C9"/>
    <w:rsid w:val="00CF4AB1"/>
    <w:rsid w:val="00CF5059"/>
    <w:rsid w:val="00CF510B"/>
    <w:rsid w:val="00CF5B42"/>
    <w:rsid w:val="00CF658A"/>
    <w:rsid w:val="00CF65FA"/>
    <w:rsid w:val="00CF7252"/>
    <w:rsid w:val="00CF7399"/>
    <w:rsid w:val="00CF7852"/>
    <w:rsid w:val="00CF7CEC"/>
    <w:rsid w:val="00CF7D54"/>
    <w:rsid w:val="00D00382"/>
    <w:rsid w:val="00D0183B"/>
    <w:rsid w:val="00D01CCC"/>
    <w:rsid w:val="00D01CEF"/>
    <w:rsid w:val="00D0217D"/>
    <w:rsid w:val="00D02645"/>
    <w:rsid w:val="00D02757"/>
    <w:rsid w:val="00D028D0"/>
    <w:rsid w:val="00D02AB4"/>
    <w:rsid w:val="00D02FF3"/>
    <w:rsid w:val="00D030F9"/>
    <w:rsid w:val="00D039BB"/>
    <w:rsid w:val="00D03DDD"/>
    <w:rsid w:val="00D04AC7"/>
    <w:rsid w:val="00D04F92"/>
    <w:rsid w:val="00D04FCE"/>
    <w:rsid w:val="00D05640"/>
    <w:rsid w:val="00D05646"/>
    <w:rsid w:val="00D0645F"/>
    <w:rsid w:val="00D06C0A"/>
    <w:rsid w:val="00D06EE6"/>
    <w:rsid w:val="00D07163"/>
    <w:rsid w:val="00D073C3"/>
    <w:rsid w:val="00D07768"/>
    <w:rsid w:val="00D07FE9"/>
    <w:rsid w:val="00D1044B"/>
    <w:rsid w:val="00D11FBC"/>
    <w:rsid w:val="00D1211D"/>
    <w:rsid w:val="00D1224E"/>
    <w:rsid w:val="00D1327D"/>
    <w:rsid w:val="00D132B0"/>
    <w:rsid w:val="00D13818"/>
    <w:rsid w:val="00D13988"/>
    <w:rsid w:val="00D140FC"/>
    <w:rsid w:val="00D142E8"/>
    <w:rsid w:val="00D1478B"/>
    <w:rsid w:val="00D14D9D"/>
    <w:rsid w:val="00D153AD"/>
    <w:rsid w:val="00D15B1F"/>
    <w:rsid w:val="00D15C79"/>
    <w:rsid w:val="00D16F79"/>
    <w:rsid w:val="00D173E9"/>
    <w:rsid w:val="00D17467"/>
    <w:rsid w:val="00D17765"/>
    <w:rsid w:val="00D17A58"/>
    <w:rsid w:val="00D17C48"/>
    <w:rsid w:val="00D17DD5"/>
    <w:rsid w:val="00D17F53"/>
    <w:rsid w:val="00D2006E"/>
    <w:rsid w:val="00D20747"/>
    <w:rsid w:val="00D209E8"/>
    <w:rsid w:val="00D20D39"/>
    <w:rsid w:val="00D2117F"/>
    <w:rsid w:val="00D21328"/>
    <w:rsid w:val="00D21384"/>
    <w:rsid w:val="00D216DD"/>
    <w:rsid w:val="00D21BCF"/>
    <w:rsid w:val="00D21C5B"/>
    <w:rsid w:val="00D21C83"/>
    <w:rsid w:val="00D21FBF"/>
    <w:rsid w:val="00D225C4"/>
    <w:rsid w:val="00D22ED5"/>
    <w:rsid w:val="00D233EC"/>
    <w:rsid w:val="00D238E7"/>
    <w:rsid w:val="00D23D45"/>
    <w:rsid w:val="00D23D81"/>
    <w:rsid w:val="00D24A29"/>
    <w:rsid w:val="00D24CA9"/>
    <w:rsid w:val="00D254F9"/>
    <w:rsid w:val="00D25F1A"/>
    <w:rsid w:val="00D25F36"/>
    <w:rsid w:val="00D26145"/>
    <w:rsid w:val="00D2644D"/>
    <w:rsid w:val="00D266F6"/>
    <w:rsid w:val="00D26E53"/>
    <w:rsid w:val="00D272A9"/>
    <w:rsid w:val="00D278EE"/>
    <w:rsid w:val="00D30A2F"/>
    <w:rsid w:val="00D30D7F"/>
    <w:rsid w:val="00D31150"/>
    <w:rsid w:val="00D31181"/>
    <w:rsid w:val="00D312BB"/>
    <w:rsid w:val="00D3142C"/>
    <w:rsid w:val="00D31A57"/>
    <w:rsid w:val="00D31A79"/>
    <w:rsid w:val="00D3292D"/>
    <w:rsid w:val="00D33199"/>
    <w:rsid w:val="00D33581"/>
    <w:rsid w:val="00D335A6"/>
    <w:rsid w:val="00D33874"/>
    <w:rsid w:val="00D33D83"/>
    <w:rsid w:val="00D342A2"/>
    <w:rsid w:val="00D35F33"/>
    <w:rsid w:val="00D360E1"/>
    <w:rsid w:val="00D36A1C"/>
    <w:rsid w:val="00D37456"/>
    <w:rsid w:val="00D375E2"/>
    <w:rsid w:val="00D375E8"/>
    <w:rsid w:val="00D3791A"/>
    <w:rsid w:val="00D379AF"/>
    <w:rsid w:val="00D400DA"/>
    <w:rsid w:val="00D40480"/>
    <w:rsid w:val="00D404FE"/>
    <w:rsid w:val="00D405C7"/>
    <w:rsid w:val="00D409EB"/>
    <w:rsid w:val="00D412F0"/>
    <w:rsid w:val="00D4307A"/>
    <w:rsid w:val="00D43590"/>
    <w:rsid w:val="00D4398F"/>
    <w:rsid w:val="00D43C12"/>
    <w:rsid w:val="00D43CAF"/>
    <w:rsid w:val="00D43F5C"/>
    <w:rsid w:val="00D44124"/>
    <w:rsid w:val="00D4477D"/>
    <w:rsid w:val="00D447B8"/>
    <w:rsid w:val="00D44B2E"/>
    <w:rsid w:val="00D44F36"/>
    <w:rsid w:val="00D46795"/>
    <w:rsid w:val="00D46C48"/>
    <w:rsid w:val="00D46D3F"/>
    <w:rsid w:val="00D4784D"/>
    <w:rsid w:val="00D506B1"/>
    <w:rsid w:val="00D50AEE"/>
    <w:rsid w:val="00D51516"/>
    <w:rsid w:val="00D5171E"/>
    <w:rsid w:val="00D52151"/>
    <w:rsid w:val="00D53C6E"/>
    <w:rsid w:val="00D53F2F"/>
    <w:rsid w:val="00D53F40"/>
    <w:rsid w:val="00D54602"/>
    <w:rsid w:val="00D54DBF"/>
    <w:rsid w:val="00D5503C"/>
    <w:rsid w:val="00D55F68"/>
    <w:rsid w:val="00D562E7"/>
    <w:rsid w:val="00D56AD3"/>
    <w:rsid w:val="00D56B7C"/>
    <w:rsid w:val="00D56BF9"/>
    <w:rsid w:val="00D56C55"/>
    <w:rsid w:val="00D57260"/>
    <w:rsid w:val="00D61047"/>
    <w:rsid w:val="00D611A8"/>
    <w:rsid w:val="00D61ADC"/>
    <w:rsid w:val="00D61FCB"/>
    <w:rsid w:val="00D62447"/>
    <w:rsid w:val="00D62594"/>
    <w:rsid w:val="00D6378C"/>
    <w:rsid w:val="00D64887"/>
    <w:rsid w:val="00D64A77"/>
    <w:rsid w:val="00D64C3D"/>
    <w:rsid w:val="00D64F49"/>
    <w:rsid w:val="00D6514F"/>
    <w:rsid w:val="00D6530F"/>
    <w:rsid w:val="00D6534D"/>
    <w:rsid w:val="00D6703A"/>
    <w:rsid w:val="00D67555"/>
    <w:rsid w:val="00D6794D"/>
    <w:rsid w:val="00D7012F"/>
    <w:rsid w:val="00D7031F"/>
    <w:rsid w:val="00D7046E"/>
    <w:rsid w:val="00D71A03"/>
    <w:rsid w:val="00D71BF5"/>
    <w:rsid w:val="00D71F76"/>
    <w:rsid w:val="00D72EB3"/>
    <w:rsid w:val="00D7371A"/>
    <w:rsid w:val="00D738E7"/>
    <w:rsid w:val="00D740F1"/>
    <w:rsid w:val="00D74125"/>
    <w:rsid w:val="00D74484"/>
    <w:rsid w:val="00D744E8"/>
    <w:rsid w:val="00D7452E"/>
    <w:rsid w:val="00D7491D"/>
    <w:rsid w:val="00D74A67"/>
    <w:rsid w:val="00D7547F"/>
    <w:rsid w:val="00D75CA1"/>
    <w:rsid w:val="00D75FE1"/>
    <w:rsid w:val="00D76834"/>
    <w:rsid w:val="00D76E7F"/>
    <w:rsid w:val="00D77211"/>
    <w:rsid w:val="00D77328"/>
    <w:rsid w:val="00D777DF"/>
    <w:rsid w:val="00D77830"/>
    <w:rsid w:val="00D77840"/>
    <w:rsid w:val="00D77F07"/>
    <w:rsid w:val="00D8117A"/>
    <w:rsid w:val="00D81243"/>
    <w:rsid w:val="00D81E56"/>
    <w:rsid w:val="00D81EE3"/>
    <w:rsid w:val="00D83021"/>
    <w:rsid w:val="00D833E0"/>
    <w:rsid w:val="00D83C2A"/>
    <w:rsid w:val="00D84699"/>
    <w:rsid w:val="00D85114"/>
    <w:rsid w:val="00D85204"/>
    <w:rsid w:val="00D85A26"/>
    <w:rsid w:val="00D85FA6"/>
    <w:rsid w:val="00D860CA"/>
    <w:rsid w:val="00D861E6"/>
    <w:rsid w:val="00D863F7"/>
    <w:rsid w:val="00D8662B"/>
    <w:rsid w:val="00D86724"/>
    <w:rsid w:val="00D8684E"/>
    <w:rsid w:val="00D869AD"/>
    <w:rsid w:val="00D86B61"/>
    <w:rsid w:val="00D873A3"/>
    <w:rsid w:val="00D879A8"/>
    <w:rsid w:val="00D87AE5"/>
    <w:rsid w:val="00D902F2"/>
    <w:rsid w:val="00D90937"/>
    <w:rsid w:val="00D91120"/>
    <w:rsid w:val="00D9116B"/>
    <w:rsid w:val="00D916ED"/>
    <w:rsid w:val="00D918E9"/>
    <w:rsid w:val="00D91DA9"/>
    <w:rsid w:val="00D91FF4"/>
    <w:rsid w:val="00D92336"/>
    <w:rsid w:val="00D92645"/>
    <w:rsid w:val="00D928F3"/>
    <w:rsid w:val="00D934B0"/>
    <w:rsid w:val="00D939A8"/>
    <w:rsid w:val="00D941A0"/>
    <w:rsid w:val="00D95397"/>
    <w:rsid w:val="00D96AA9"/>
    <w:rsid w:val="00D96D53"/>
    <w:rsid w:val="00D97643"/>
    <w:rsid w:val="00D9777E"/>
    <w:rsid w:val="00DA0292"/>
    <w:rsid w:val="00DA0F68"/>
    <w:rsid w:val="00DA0F9E"/>
    <w:rsid w:val="00DA12A2"/>
    <w:rsid w:val="00DA13E9"/>
    <w:rsid w:val="00DA1671"/>
    <w:rsid w:val="00DA1EA7"/>
    <w:rsid w:val="00DA3432"/>
    <w:rsid w:val="00DA352E"/>
    <w:rsid w:val="00DA3608"/>
    <w:rsid w:val="00DA36BC"/>
    <w:rsid w:val="00DA55C0"/>
    <w:rsid w:val="00DA5A46"/>
    <w:rsid w:val="00DA62FF"/>
    <w:rsid w:val="00DA65F6"/>
    <w:rsid w:val="00DA68F5"/>
    <w:rsid w:val="00DA7773"/>
    <w:rsid w:val="00DA7FE2"/>
    <w:rsid w:val="00DB04E8"/>
    <w:rsid w:val="00DB0806"/>
    <w:rsid w:val="00DB14E2"/>
    <w:rsid w:val="00DB1C9B"/>
    <w:rsid w:val="00DB20F1"/>
    <w:rsid w:val="00DB21C3"/>
    <w:rsid w:val="00DB21CD"/>
    <w:rsid w:val="00DB2954"/>
    <w:rsid w:val="00DB2FB4"/>
    <w:rsid w:val="00DB3463"/>
    <w:rsid w:val="00DB37D5"/>
    <w:rsid w:val="00DB3C98"/>
    <w:rsid w:val="00DB4494"/>
    <w:rsid w:val="00DB471F"/>
    <w:rsid w:val="00DB48BA"/>
    <w:rsid w:val="00DB504A"/>
    <w:rsid w:val="00DB5821"/>
    <w:rsid w:val="00DB5D93"/>
    <w:rsid w:val="00DB6F56"/>
    <w:rsid w:val="00DB6FE1"/>
    <w:rsid w:val="00DB74ED"/>
    <w:rsid w:val="00DB7778"/>
    <w:rsid w:val="00DB79FB"/>
    <w:rsid w:val="00DC0285"/>
    <w:rsid w:val="00DC03F4"/>
    <w:rsid w:val="00DC0FAA"/>
    <w:rsid w:val="00DC1AE1"/>
    <w:rsid w:val="00DC1CAC"/>
    <w:rsid w:val="00DC216F"/>
    <w:rsid w:val="00DC2E03"/>
    <w:rsid w:val="00DC2F7E"/>
    <w:rsid w:val="00DC427D"/>
    <w:rsid w:val="00DC4EFE"/>
    <w:rsid w:val="00DC5229"/>
    <w:rsid w:val="00DC56CB"/>
    <w:rsid w:val="00DC5A4E"/>
    <w:rsid w:val="00DC61DF"/>
    <w:rsid w:val="00DC6339"/>
    <w:rsid w:val="00DC6570"/>
    <w:rsid w:val="00DC67D7"/>
    <w:rsid w:val="00DC6B03"/>
    <w:rsid w:val="00DC7DC1"/>
    <w:rsid w:val="00DD02F2"/>
    <w:rsid w:val="00DD05AA"/>
    <w:rsid w:val="00DD0650"/>
    <w:rsid w:val="00DD09A0"/>
    <w:rsid w:val="00DD0D3B"/>
    <w:rsid w:val="00DD11BD"/>
    <w:rsid w:val="00DD1DE9"/>
    <w:rsid w:val="00DD26C2"/>
    <w:rsid w:val="00DD3538"/>
    <w:rsid w:val="00DD3817"/>
    <w:rsid w:val="00DD400F"/>
    <w:rsid w:val="00DD405A"/>
    <w:rsid w:val="00DD4725"/>
    <w:rsid w:val="00DD503F"/>
    <w:rsid w:val="00DD51C8"/>
    <w:rsid w:val="00DD5432"/>
    <w:rsid w:val="00DD54B9"/>
    <w:rsid w:val="00DD569D"/>
    <w:rsid w:val="00DD5776"/>
    <w:rsid w:val="00DD5CFE"/>
    <w:rsid w:val="00DD6450"/>
    <w:rsid w:val="00DD666C"/>
    <w:rsid w:val="00DE12AF"/>
    <w:rsid w:val="00DE12EF"/>
    <w:rsid w:val="00DE1509"/>
    <w:rsid w:val="00DE18ED"/>
    <w:rsid w:val="00DE1EF9"/>
    <w:rsid w:val="00DE1FB8"/>
    <w:rsid w:val="00DE2D60"/>
    <w:rsid w:val="00DE2DAA"/>
    <w:rsid w:val="00DE3182"/>
    <w:rsid w:val="00DE355B"/>
    <w:rsid w:val="00DE3A39"/>
    <w:rsid w:val="00DE3D53"/>
    <w:rsid w:val="00DE3DCD"/>
    <w:rsid w:val="00DE5223"/>
    <w:rsid w:val="00DE5749"/>
    <w:rsid w:val="00DE5B7A"/>
    <w:rsid w:val="00DE65DE"/>
    <w:rsid w:val="00DE6BDE"/>
    <w:rsid w:val="00DE756D"/>
    <w:rsid w:val="00DE77CB"/>
    <w:rsid w:val="00DE78DB"/>
    <w:rsid w:val="00DE7D3F"/>
    <w:rsid w:val="00DE7EBC"/>
    <w:rsid w:val="00DF056A"/>
    <w:rsid w:val="00DF0873"/>
    <w:rsid w:val="00DF0F64"/>
    <w:rsid w:val="00DF11C0"/>
    <w:rsid w:val="00DF2275"/>
    <w:rsid w:val="00DF2A84"/>
    <w:rsid w:val="00DF2B4E"/>
    <w:rsid w:val="00DF3026"/>
    <w:rsid w:val="00DF3A7F"/>
    <w:rsid w:val="00DF3C03"/>
    <w:rsid w:val="00DF4EF9"/>
    <w:rsid w:val="00DF5889"/>
    <w:rsid w:val="00DF691A"/>
    <w:rsid w:val="00DF6A3C"/>
    <w:rsid w:val="00DF78D0"/>
    <w:rsid w:val="00E002AA"/>
    <w:rsid w:val="00E00C22"/>
    <w:rsid w:val="00E0197F"/>
    <w:rsid w:val="00E01F65"/>
    <w:rsid w:val="00E02511"/>
    <w:rsid w:val="00E02C90"/>
    <w:rsid w:val="00E02D97"/>
    <w:rsid w:val="00E02E45"/>
    <w:rsid w:val="00E036DC"/>
    <w:rsid w:val="00E03BD3"/>
    <w:rsid w:val="00E043E9"/>
    <w:rsid w:val="00E04E22"/>
    <w:rsid w:val="00E05755"/>
    <w:rsid w:val="00E05F15"/>
    <w:rsid w:val="00E07093"/>
    <w:rsid w:val="00E0734B"/>
    <w:rsid w:val="00E07DC3"/>
    <w:rsid w:val="00E103F4"/>
    <w:rsid w:val="00E10C6E"/>
    <w:rsid w:val="00E10C9A"/>
    <w:rsid w:val="00E11700"/>
    <w:rsid w:val="00E11831"/>
    <w:rsid w:val="00E11A02"/>
    <w:rsid w:val="00E11ED9"/>
    <w:rsid w:val="00E12A5C"/>
    <w:rsid w:val="00E12B35"/>
    <w:rsid w:val="00E12C09"/>
    <w:rsid w:val="00E12E1C"/>
    <w:rsid w:val="00E13A44"/>
    <w:rsid w:val="00E13E8E"/>
    <w:rsid w:val="00E1548D"/>
    <w:rsid w:val="00E15CEB"/>
    <w:rsid w:val="00E15DE9"/>
    <w:rsid w:val="00E1639D"/>
    <w:rsid w:val="00E169CD"/>
    <w:rsid w:val="00E17060"/>
    <w:rsid w:val="00E17542"/>
    <w:rsid w:val="00E17AA1"/>
    <w:rsid w:val="00E20109"/>
    <w:rsid w:val="00E20398"/>
    <w:rsid w:val="00E20BD1"/>
    <w:rsid w:val="00E210C1"/>
    <w:rsid w:val="00E213CD"/>
    <w:rsid w:val="00E2192E"/>
    <w:rsid w:val="00E21A98"/>
    <w:rsid w:val="00E222AF"/>
    <w:rsid w:val="00E22EAD"/>
    <w:rsid w:val="00E234A6"/>
    <w:rsid w:val="00E235D8"/>
    <w:rsid w:val="00E240A0"/>
    <w:rsid w:val="00E24955"/>
    <w:rsid w:val="00E25201"/>
    <w:rsid w:val="00E26C44"/>
    <w:rsid w:val="00E272E0"/>
    <w:rsid w:val="00E27A6B"/>
    <w:rsid w:val="00E27BED"/>
    <w:rsid w:val="00E27CDC"/>
    <w:rsid w:val="00E3001F"/>
    <w:rsid w:val="00E300CB"/>
    <w:rsid w:val="00E3075A"/>
    <w:rsid w:val="00E31AE1"/>
    <w:rsid w:val="00E31AF6"/>
    <w:rsid w:val="00E31E2B"/>
    <w:rsid w:val="00E322BA"/>
    <w:rsid w:val="00E32612"/>
    <w:rsid w:val="00E326A9"/>
    <w:rsid w:val="00E32D69"/>
    <w:rsid w:val="00E3378B"/>
    <w:rsid w:val="00E33C06"/>
    <w:rsid w:val="00E33EE9"/>
    <w:rsid w:val="00E34298"/>
    <w:rsid w:val="00E34A0D"/>
    <w:rsid w:val="00E35541"/>
    <w:rsid w:val="00E356A8"/>
    <w:rsid w:val="00E35A7F"/>
    <w:rsid w:val="00E368BE"/>
    <w:rsid w:val="00E36F98"/>
    <w:rsid w:val="00E37128"/>
    <w:rsid w:val="00E371A5"/>
    <w:rsid w:val="00E37F37"/>
    <w:rsid w:val="00E37FF6"/>
    <w:rsid w:val="00E4003B"/>
    <w:rsid w:val="00E4091C"/>
    <w:rsid w:val="00E409F5"/>
    <w:rsid w:val="00E40D88"/>
    <w:rsid w:val="00E41251"/>
    <w:rsid w:val="00E41325"/>
    <w:rsid w:val="00E4202E"/>
    <w:rsid w:val="00E42080"/>
    <w:rsid w:val="00E4222C"/>
    <w:rsid w:val="00E42238"/>
    <w:rsid w:val="00E42588"/>
    <w:rsid w:val="00E42F48"/>
    <w:rsid w:val="00E4326A"/>
    <w:rsid w:val="00E438F0"/>
    <w:rsid w:val="00E4402D"/>
    <w:rsid w:val="00E440A4"/>
    <w:rsid w:val="00E45016"/>
    <w:rsid w:val="00E454B2"/>
    <w:rsid w:val="00E45A91"/>
    <w:rsid w:val="00E45E5E"/>
    <w:rsid w:val="00E4663D"/>
    <w:rsid w:val="00E47A9E"/>
    <w:rsid w:val="00E47C44"/>
    <w:rsid w:val="00E5006B"/>
    <w:rsid w:val="00E51291"/>
    <w:rsid w:val="00E513D4"/>
    <w:rsid w:val="00E51435"/>
    <w:rsid w:val="00E514AF"/>
    <w:rsid w:val="00E514C6"/>
    <w:rsid w:val="00E517A4"/>
    <w:rsid w:val="00E527DC"/>
    <w:rsid w:val="00E52B79"/>
    <w:rsid w:val="00E52DB9"/>
    <w:rsid w:val="00E536D6"/>
    <w:rsid w:val="00E53A23"/>
    <w:rsid w:val="00E53A51"/>
    <w:rsid w:val="00E53CD7"/>
    <w:rsid w:val="00E54061"/>
    <w:rsid w:val="00E542D9"/>
    <w:rsid w:val="00E55970"/>
    <w:rsid w:val="00E55F64"/>
    <w:rsid w:val="00E560B4"/>
    <w:rsid w:val="00E564CB"/>
    <w:rsid w:val="00E56689"/>
    <w:rsid w:val="00E56CA9"/>
    <w:rsid w:val="00E57932"/>
    <w:rsid w:val="00E60693"/>
    <w:rsid w:val="00E60FAF"/>
    <w:rsid w:val="00E61276"/>
    <w:rsid w:val="00E61D18"/>
    <w:rsid w:val="00E61D78"/>
    <w:rsid w:val="00E61F48"/>
    <w:rsid w:val="00E6273C"/>
    <w:rsid w:val="00E62BCD"/>
    <w:rsid w:val="00E63981"/>
    <w:rsid w:val="00E63BCA"/>
    <w:rsid w:val="00E64D36"/>
    <w:rsid w:val="00E64F0C"/>
    <w:rsid w:val="00E656AC"/>
    <w:rsid w:val="00E6596D"/>
    <w:rsid w:val="00E65CB7"/>
    <w:rsid w:val="00E65EF8"/>
    <w:rsid w:val="00E66104"/>
    <w:rsid w:val="00E6612C"/>
    <w:rsid w:val="00E6622C"/>
    <w:rsid w:val="00E66891"/>
    <w:rsid w:val="00E66BF9"/>
    <w:rsid w:val="00E66C53"/>
    <w:rsid w:val="00E67205"/>
    <w:rsid w:val="00E6784B"/>
    <w:rsid w:val="00E706EE"/>
    <w:rsid w:val="00E708F6"/>
    <w:rsid w:val="00E70D63"/>
    <w:rsid w:val="00E70F06"/>
    <w:rsid w:val="00E7106E"/>
    <w:rsid w:val="00E7113E"/>
    <w:rsid w:val="00E71824"/>
    <w:rsid w:val="00E71EF9"/>
    <w:rsid w:val="00E7267C"/>
    <w:rsid w:val="00E72680"/>
    <w:rsid w:val="00E73709"/>
    <w:rsid w:val="00E737DB"/>
    <w:rsid w:val="00E7534B"/>
    <w:rsid w:val="00E75869"/>
    <w:rsid w:val="00E75ADC"/>
    <w:rsid w:val="00E76AFE"/>
    <w:rsid w:val="00E76CAF"/>
    <w:rsid w:val="00E77812"/>
    <w:rsid w:val="00E80127"/>
    <w:rsid w:val="00E801A5"/>
    <w:rsid w:val="00E802E7"/>
    <w:rsid w:val="00E803C7"/>
    <w:rsid w:val="00E81040"/>
    <w:rsid w:val="00E811F5"/>
    <w:rsid w:val="00E81316"/>
    <w:rsid w:val="00E8164B"/>
    <w:rsid w:val="00E81B2B"/>
    <w:rsid w:val="00E81EFD"/>
    <w:rsid w:val="00E81F7A"/>
    <w:rsid w:val="00E82113"/>
    <w:rsid w:val="00E832A0"/>
    <w:rsid w:val="00E83408"/>
    <w:rsid w:val="00E837C0"/>
    <w:rsid w:val="00E83D7A"/>
    <w:rsid w:val="00E845F7"/>
    <w:rsid w:val="00E85001"/>
    <w:rsid w:val="00E850D8"/>
    <w:rsid w:val="00E851AE"/>
    <w:rsid w:val="00E853BB"/>
    <w:rsid w:val="00E85A84"/>
    <w:rsid w:val="00E85B00"/>
    <w:rsid w:val="00E86A43"/>
    <w:rsid w:val="00E86B44"/>
    <w:rsid w:val="00E86B9A"/>
    <w:rsid w:val="00E86EE5"/>
    <w:rsid w:val="00E871BB"/>
    <w:rsid w:val="00E8737F"/>
    <w:rsid w:val="00E87B0C"/>
    <w:rsid w:val="00E87CE2"/>
    <w:rsid w:val="00E90855"/>
    <w:rsid w:val="00E90C8C"/>
    <w:rsid w:val="00E90CDF"/>
    <w:rsid w:val="00E912C3"/>
    <w:rsid w:val="00E916AF"/>
    <w:rsid w:val="00E91A12"/>
    <w:rsid w:val="00E91AAD"/>
    <w:rsid w:val="00E91CFE"/>
    <w:rsid w:val="00E9264C"/>
    <w:rsid w:val="00E9275D"/>
    <w:rsid w:val="00E9304C"/>
    <w:rsid w:val="00E93CE6"/>
    <w:rsid w:val="00E94CAD"/>
    <w:rsid w:val="00E950EF"/>
    <w:rsid w:val="00E956F3"/>
    <w:rsid w:val="00E959E2"/>
    <w:rsid w:val="00E95E58"/>
    <w:rsid w:val="00E96261"/>
    <w:rsid w:val="00E969CD"/>
    <w:rsid w:val="00E971ED"/>
    <w:rsid w:val="00E97243"/>
    <w:rsid w:val="00EA0EAF"/>
    <w:rsid w:val="00EA14B5"/>
    <w:rsid w:val="00EA1DBE"/>
    <w:rsid w:val="00EA252E"/>
    <w:rsid w:val="00EA26CD"/>
    <w:rsid w:val="00EA2A65"/>
    <w:rsid w:val="00EA2FBC"/>
    <w:rsid w:val="00EA3336"/>
    <w:rsid w:val="00EA3A7F"/>
    <w:rsid w:val="00EA3D05"/>
    <w:rsid w:val="00EA43CC"/>
    <w:rsid w:val="00EA4BC4"/>
    <w:rsid w:val="00EA533C"/>
    <w:rsid w:val="00EA568B"/>
    <w:rsid w:val="00EA5EBC"/>
    <w:rsid w:val="00EA6119"/>
    <w:rsid w:val="00EA69AE"/>
    <w:rsid w:val="00EA6A5C"/>
    <w:rsid w:val="00EA6E44"/>
    <w:rsid w:val="00EA75F8"/>
    <w:rsid w:val="00EA76CF"/>
    <w:rsid w:val="00EA790F"/>
    <w:rsid w:val="00EA7A31"/>
    <w:rsid w:val="00EB0636"/>
    <w:rsid w:val="00EB16E7"/>
    <w:rsid w:val="00EB191C"/>
    <w:rsid w:val="00EB21A8"/>
    <w:rsid w:val="00EB22FF"/>
    <w:rsid w:val="00EB248D"/>
    <w:rsid w:val="00EB25D7"/>
    <w:rsid w:val="00EB29D2"/>
    <w:rsid w:val="00EB339F"/>
    <w:rsid w:val="00EB385C"/>
    <w:rsid w:val="00EB3A02"/>
    <w:rsid w:val="00EB3A4A"/>
    <w:rsid w:val="00EB3D79"/>
    <w:rsid w:val="00EB474D"/>
    <w:rsid w:val="00EB4E0A"/>
    <w:rsid w:val="00EB5183"/>
    <w:rsid w:val="00EB53BA"/>
    <w:rsid w:val="00EB5D17"/>
    <w:rsid w:val="00EB66B6"/>
    <w:rsid w:val="00EB6927"/>
    <w:rsid w:val="00EB6A86"/>
    <w:rsid w:val="00EB6B0F"/>
    <w:rsid w:val="00EB73E8"/>
    <w:rsid w:val="00EB7CA0"/>
    <w:rsid w:val="00EB7DF7"/>
    <w:rsid w:val="00EB7F90"/>
    <w:rsid w:val="00EC057D"/>
    <w:rsid w:val="00EC0A63"/>
    <w:rsid w:val="00EC184A"/>
    <w:rsid w:val="00EC1C88"/>
    <w:rsid w:val="00EC1D89"/>
    <w:rsid w:val="00EC1DF5"/>
    <w:rsid w:val="00EC271D"/>
    <w:rsid w:val="00EC28D9"/>
    <w:rsid w:val="00EC2BFF"/>
    <w:rsid w:val="00EC2DB5"/>
    <w:rsid w:val="00EC341F"/>
    <w:rsid w:val="00EC3807"/>
    <w:rsid w:val="00EC390A"/>
    <w:rsid w:val="00EC39CB"/>
    <w:rsid w:val="00EC3CFC"/>
    <w:rsid w:val="00EC43B6"/>
    <w:rsid w:val="00EC4BFF"/>
    <w:rsid w:val="00EC4D8D"/>
    <w:rsid w:val="00EC594C"/>
    <w:rsid w:val="00EC6217"/>
    <w:rsid w:val="00EC6A19"/>
    <w:rsid w:val="00EC6C02"/>
    <w:rsid w:val="00EC6F95"/>
    <w:rsid w:val="00ED01EF"/>
    <w:rsid w:val="00ED02A1"/>
    <w:rsid w:val="00ED02F5"/>
    <w:rsid w:val="00ED0745"/>
    <w:rsid w:val="00ED1353"/>
    <w:rsid w:val="00ED170E"/>
    <w:rsid w:val="00ED18D6"/>
    <w:rsid w:val="00ED1A62"/>
    <w:rsid w:val="00ED252C"/>
    <w:rsid w:val="00ED2BBB"/>
    <w:rsid w:val="00ED362E"/>
    <w:rsid w:val="00ED4158"/>
    <w:rsid w:val="00ED459C"/>
    <w:rsid w:val="00ED4BB6"/>
    <w:rsid w:val="00ED50B3"/>
    <w:rsid w:val="00ED63D1"/>
    <w:rsid w:val="00ED67BA"/>
    <w:rsid w:val="00ED6EC7"/>
    <w:rsid w:val="00ED6F9C"/>
    <w:rsid w:val="00ED738E"/>
    <w:rsid w:val="00ED7ABD"/>
    <w:rsid w:val="00ED7D8C"/>
    <w:rsid w:val="00ED7DD7"/>
    <w:rsid w:val="00EE03E4"/>
    <w:rsid w:val="00EE095C"/>
    <w:rsid w:val="00EE0D4D"/>
    <w:rsid w:val="00EE1062"/>
    <w:rsid w:val="00EE1111"/>
    <w:rsid w:val="00EE15A4"/>
    <w:rsid w:val="00EE17F7"/>
    <w:rsid w:val="00EE1D63"/>
    <w:rsid w:val="00EE23A1"/>
    <w:rsid w:val="00EE26E3"/>
    <w:rsid w:val="00EE2812"/>
    <w:rsid w:val="00EE283E"/>
    <w:rsid w:val="00EE2E7C"/>
    <w:rsid w:val="00EE33B6"/>
    <w:rsid w:val="00EE37BB"/>
    <w:rsid w:val="00EE411D"/>
    <w:rsid w:val="00EE477D"/>
    <w:rsid w:val="00EE56A5"/>
    <w:rsid w:val="00EE5D08"/>
    <w:rsid w:val="00EE6DC6"/>
    <w:rsid w:val="00EE6E5B"/>
    <w:rsid w:val="00EE7365"/>
    <w:rsid w:val="00EE7581"/>
    <w:rsid w:val="00EE7A6B"/>
    <w:rsid w:val="00EF0AE6"/>
    <w:rsid w:val="00EF0B0F"/>
    <w:rsid w:val="00EF1E2E"/>
    <w:rsid w:val="00EF26D2"/>
    <w:rsid w:val="00EF2813"/>
    <w:rsid w:val="00EF3432"/>
    <w:rsid w:val="00EF35EC"/>
    <w:rsid w:val="00EF3CE5"/>
    <w:rsid w:val="00EF403F"/>
    <w:rsid w:val="00EF425D"/>
    <w:rsid w:val="00EF4647"/>
    <w:rsid w:val="00EF5600"/>
    <w:rsid w:val="00EF5D69"/>
    <w:rsid w:val="00EF6D8B"/>
    <w:rsid w:val="00EF745F"/>
    <w:rsid w:val="00EF77B1"/>
    <w:rsid w:val="00EF7E4F"/>
    <w:rsid w:val="00F025C9"/>
    <w:rsid w:val="00F038FD"/>
    <w:rsid w:val="00F039BB"/>
    <w:rsid w:val="00F04428"/>
    <w:rsid w:val="00F04997"/>
    <w:rsid w:val="00F04ADE"/>
    <w:rsid w:val="00F04BEC"/>
    <w:rsid w:val="00F04F9E"/>
    <w:rsid w:val="00F059F5"/>
    <w:rsid w:val="00F06003"/>
    <w:rsid w:val="00F0635C"/>
    <w:rsid w:val="00F063BE"/>
    <w:rsid w:val="00F06720"/>
    <w:rsid w:val="00F0683F"/>
    <w:rsid w:val="00F06E91"/>
    <w:rsid w:val="00F07060"/>
    <w:rsid w:val="00F07621"/>
    <w:rsid w:val="00F0773E"/>
    <w:rsid w:val="00F07964"/>
    <w:rsid w:val="00F07B9F"/>
    <w:rsid w:val="00F10829"/>
    <w:rsid w:val="00F11146"/>
    <w:rsid w:val="00F115CF"/>
    <w:rsid w:val="00F12B37"/>
    <w:rsid w:val="00F1359C"/>
    <w:rsid w:val="00F1371A"/>
    <w:rsid w:val="00F14D5F"/>
    <w:rsid w:val="00F14E4C"/>
    <w:rsid w:val="00F154C8"/>
    <w:rsid w:val="00F15631"/>
    <w:rsid w:val="00F15E0B"/>
    <w:rsid w:val="00F15E10"/>
    <w:rsid w:val="00F1692C"/>
    <w:rsid w:val="00F16AA2"/>
    <w:rsid w:val="00F1785A"/>
    <w:rsid w:val="00F17D29"/>
    <w:rsid w:val="00F20226"/>
    <w:rsid w:val="00F20EBA"/>
    <w:rsid w:val="00F21455"/>
    <w:rsid w:val="00F21930"/>
    <w:rsid w:val="00F223AC"/>
    <w:rsid w:val="00F22DDE"/>
    <w:rsid w:val="00F22EE6"/>
    <w:rsid w:val="00F23D7D"/>
    <w:rsid w:val="00F246C5"/>
    <w:rsid w:val="00F24A38"/>
    <w:rsid w:val="00F2529F"/>
    <w:rsid w:val="00F2545A"/>
    <w:rsid w:val="00F25F62"/>
    <w:rsid w:val="00F26366"/>
    <w:rsid w:val="00F26514"/>
    <w:rsid w:val="00F26BF0"/>
    <w:rsid w:val="00F26EEE"/>
    <w:rsid w:val="00F27E28"/>
    <w:rsid w:val="00F300DC"/>
    <w:rsid w:val="00F30A2C"/>
    <w:rsid w:val="00F30C74"/>
    <w:rsid w:val="00F31F66"/>
    <w:rsid w:val="00F32244"/>
    <w:rsid w:val="00F32370"/>
    <w:rsid w:val="00F325CD"/>
    <w:rsid w:val="00F32BF4"/>
    <w:rsid w:val="00F32CC0"/>
    <w:rsid w:val="00F32F2C"/>
    <w:rsid w:val="00F33062"/>
    <w:rsid w:val="00F3327E"/>
    <w:rsid w:val="00F33A13"/>
    <w:rsid w:val="00F33C1B"/>
    <w:rsid w:val="00F34481"/>
    <w:rsid w:val="00F34488"/>
    <w:rsid w:val="00F349AC"/>
    <w:rsid w:val="00F361FE"/>
    <w:rsid w:val="00F36441"/>
    <w:rsid w:val="00F368BA"/>
    <w:rsid w:val="00F36929"/>
    <w:rsid w:val="00F36BD9"/>
    <w:rsid w:val="00F3755C"/>
    <w:rsid w:val="00F3765C"/>
    <w:rsid w:val="00F379D1"/>
    <w:rsid w:val="00F40718"/>
    <w:rsid w:val="00F40FA4"/>
    <w:rsid w:val="00F41432"/>
    <w:rsid w:val="00F41711"/>
    <w:rsid w:val="00F41DD0"/>
    <w:rsid w:val="00F4268F"/>
    <w:rsid w:val="00F429CC"/>
    <w:rsid w:val="00F42F71"/>
    <w:rsid w:val="00F431C8"/>
    <w:rsid w:val="00F4349D"/>
    <w:rsid w:val="00F43898"/>
    <w:rsid w:val="00F43D97"/>
    <w:rsid w:val="00F44277"/>
    <w:rsid w:val="00F44636"/>
    <w:rsid w:val="00F453C9"/>
    <w:rsid w:val="00F4580B"/>
    <w:rsid w:val="00F4593A"/>
    <w:rsid w:val="00F46300"/>
    <w:rsid w:val="00F4689B"/>
    <w:rsid w:val="00F46918"/>
    <w:rsid w:val="00F477DC"/>
    <w:rsid w:val="00F47904"/>
    <w:rsid w:val="00F500AD"/>
    <w:rsid w:val="00F50439"/>
    <w:rsid w:val="00F507FF"/>
    <w:rsid w:val="00F50CF4"/>
    <w:rsid w:val="00F50DF8"/>
    <w:rsid w:val="00F5125F"/>
    <w:rsid w:val="00F52EB0"/>
    <w:rsid w:val="00F53046"/>
    <w:rsid w:val="00F535DD"/>
    <w:rsid w:val="00F55F34"/>
    <w:rsid w:val="00F55F4B"/>
    <w:rsid w:val="00F564DF"/>
    <w:rsid w:val="00F566AB"/>
    <w:rsid w:val="00F568DA"/>
    <w:rsid w:val="00F56AD9"/>
    <w:rsid w:val="00F56D6C"/>
    <w:rsid w:val="00F574F6"/>
    <w:rsid w:val="00F5780F"/>
    <w:rsid w:val="00F57C34"/>
    <w:rsid w:val="00F57D95"/>
    <w:rsid w:val="00F606E1"/>
    <w:rsid w:val="00F6150D"/>
    <w:rsid w:val="00F619C5"/>
    <w:rsid w:val="00F61AEC"/>
    <w:rsid w:val="00F61E1D"/>
    <w:rsid w:val="00F620B7"/>
    <w:rsid w:val="00F62435"/>
    <w:rsid w:val="00F62D29"/>
    <w:rsid w:val="00F63524"/>
    <w:rsid w:val="00F63916"/>
    <w:rsid w:val="00F63B75"/>
    <w:rsid w:val="00F64702"/>
    <w:rsid w:val="00F64890"/>
    <w:rsid w:val="00F64958"/>
    <w:rsid w:val="00F64DCE"/>
    <w:rsid w:val="00F64DFB"/>
    <w:rsid w:val="00F64E4D"/>
    <w:rsid w:val="00F64ECC"/>
    <w:rsid w:val="00F65314"/>
    <w:rsid w:val="00F65835"/>
    <w:rsid w:val="00F658A7"/>
    <w:rsid w:val="00F65C97"/>
    <w:rsid w:val="00F65D7F"/>
    <w:rsid w:val="00F6606C"/>
    <w:rsid w:val="00F660A5"/>
    <w:rsid w:val="00F6681E"/>
    <w:rsid w:val="00F6751E"/>
    <w:rsid w:val="00F67A3B"/>
    <w:rsid w:val="00F67F44"/>
    <w:rsid w:val="00F7086F"/>
    <w:rsid w:val="00F71246"/>
    <w:rsid w:val="00F720C0"/>
    <w:rsid w:val="00F726EA"/>
    <w:rsid w:val="00F72C33"/>
    <w:rsid w:val="00F72DA7"/>
    <w:rsid w:val="00F730B2"/>
    <w:rsid w:val="00F73520"/>
    <w:rsid w:val="00F739BC"/>
    <w:rsid w:val="00F73CC4"/>
    <w:rsid w:val="00F73F3E"/>
    <w:rsid w:val="00F745F6"/>
    <w:rsid w:val="00F756B8"/>
    <w:rsid w:val="00F75917"/>
    <w:rsid w:val="00F75B29"/>
    <w:rsid w:val="00F76C79"/>
    <w:rsid w:val="00F775F5"/>
    <w:rsid w:val="00F77618"/>
    <w:rsid w:val="00F777A9"/>
    <w:rsid w:val="00F779FC"/>
    <w:rsid w:val="00F801C8"/>
    <w:rsid w:val="00F805B8"/>
    <w:rsid w:val="00F80706"/>
    <w:rsid w:val="00F81024"/>
    <w:rsid w:val="00F8152B"/>
    <w:rsid w:val="00F81A09"/>
    <w:rsid w:val="00F837F2"/>
    <w:rsid w:val="00F83C92"/>
    <w:rsid w:val="00F83E55"/>
    <w:rsid w:val="00F84734"/>
    <w:rsid w:val="00F8526B"/>
    <w:rsid w:val="00F85EEE"/>
    <w:rsid w:val="00F86E6B"/>
    <w:rsid w:val="00F8725F"/>
    <w:rsid w:val="00F877C0"/>
    <w:rsid w:val="00F90171"/>
    <w:rsid w:val="00F9058F"/>
    <w:rsid w:val="00F906C3"/>
    <w:rsid w:val="00F9078B"/>
    <w:rsid w:val="00F90B23"/>
    <w:rsid w:val="00F9170C"/>
    <w:rsid w:val="00F91768"/>
    <w:rsid w:val="00F91783"/>
    <w:rsid w:val="00F91874"/>
    <w:rsid w:val="00F9198C"/>
    <w:rsid w:val="00F919A2"/>
    <w:rsid w:val="00F929DF"/>
    <w:rsid w:val="00F93A7A"/>
    <w:rsid w:val="00F941B4"/>
    <w:rsid w:val="00F9429F"/>
    <w:rsid w:val="00F947D5"/>
    <w:rsid w:val="00F95A4C"/>
    <w:rsid w:val="00F95AA5"/>
    <w:rsid w:val="00F95D42"/>
    <w:rsid w:val="00F95F8C"/>
    <w:rsid w:val="00F96461"/>
    <w:rsid w:val="00F96971"/>
    <w:rsid w:val="00F9727D"/>
    <w:rsid w:val="00F976ED"/>
    <w:rsid w:val="00F978FC"/>
    <w:rsid w:val="00F97C48"/>
    <w:rsid w:val="00F97FEA"/>
    <w:rsid w:val="00FA0104"/>
    <w:rsid w:val="00FA0379"/>
    <w:rsid w:val="00FA15EE"/>
    <w:rsid w:val="00FA1A90"/>
    <w:rsid w:val="00FA2038"/>
    <w:rsid w:val="00FA2635"/>
    <w:rsid w:val="00FA2B70"/>
    <w:rsid w:val="00FA2D75"/>
    <w:rsid w:val="00FA3B38"/>
    <w:rsid w:val="00FA4578"/>
    <w:rsid w:val="00FA470F"/>
    <w:rsid w:val="00FA4BF8"/>
    <w:rsid w:val="00FA529D"/>
    <w:rsid w:val="00FA52E6"/>
    <w:rsid w:val="00FA52F4"/>
    <w:rsid w:val="00FA549D"/>
    <w:rsid w:val="00FA685B"/>
    <w:rsid w:val="00FB09ED"/>
    <w:rsid w:val="00FB1CB0"/>
    <w:rsid w:val="00FB2132"/>
    <w:rsid w:val="00FB21FF"/>
    <w:rsid w:val="00FB3941"/>
    <w:rsid w:val="00FB40EE"/>
    <w:rsid w:val="00FB5039"/>
    <w:rsid w:val="00FB505D"/>
    <w:rsid w:val="00FB566E"/>
    <w:rsid w:val="00FB56A8"/>
    <w:rsid w:val="00FB5FF7"/>
    <w:rsid w:val="00FB6AF6"/>
    <w:rsid w:val="00FB6F2A"/>
    <w:rsid w:val="00FB72EA"/>
    <w:rsid w:val="00FB7B6F"/>
    <w:rsid w:val="00FC08E9"/>
    <w:rsid w:val="00FC0F12"/>
    <w:rsid w:val="00FC2868"/>
    <w:rsid w:val="00FC2A63"/>
    <w:rsid w:val="00FC3634"/>
    <w:rsid w:val="00FC3AF5"/>
    <w:rsid w:val="00FC43A9"/>
    <w:rsid w:val="00FC4599"/>
    <w:rsid w:val="00FC4E20"/>
    <w:rsid w:val="00FC4F78"/>
    <w:rsid w:val="00FC509D"/>
    <w:rsid w:val="00FC5176"/>
    <w:rsid w:val="00FC5ACE"/>
    <w:rsid w:val="00FC601D"/>
    <w:rsid w:val="00FC6351"/>
    <w:rsid w:val="00FC6587"/>
    <w:rsid w:val="00FC69FF"/>
    <w:rsid w:val="00FC71FB"/>
    <w:rsid w:val="00FC7B3C"/>
    <w:rsid w:val="00FC7BE0"/>
    <w:rsid w:val="00FC7F92"/>
    <w:rsid w:val="00FD0EC3"/>
    <w:rsid w:val="00FD0FBC"/>
    <w:rsid w:val="00FD142E"/>
    <w:rsid w:val="00FD2954"/>
    <w:rsid w:val="00FD29E0"/>
    <w:rsid w:val="00FD2B66"/>
    <w:rsid w:val="00FD2E09"/>
    <w:rsid w:val="00FD316A"/>
    <w:rsid w:val="00FD33CE"/>
    <w:rsid w:val="00FD360F"/>
    <w:rsid w:val="00FD3A37"/>
    <w:rsid w:val="00FD4187"/>
    <w:rsid w:val="00FD45D0"/>
    <w:rsid w:val="00FD4BE9"/>
    <w:rsid w:val="00FD5737"/>
    <w:rsid w:val="00FD6596"/>
    <w:rsid w:val="00FD6D3D"/>
    <w:rsid w:val="00FD7669"/>
    <w:rsid w:val="00FD7B37"/>
    <w:rsid w:val="00FD7F8D"/>
    <w:rsid w:val="00FE081B"/>
    <w:rsid w:val="00FE0EC8"/>
    <w:rsid w:val="00FE1504"/>
    <w:rsid w:val="00FE1A79"/>
    <w:rsid w:val="00FE3630"/>
    <w:rsid w:val="00FE3E3A"/>
    <w:rsid w:val="00FE4453"/>
    <w:rsid w:val="00FE5231"/>
    <w:rsid w:val="00FE56F6"/>
    <w:rsid w:val="00FE6003"/>
    <w:rsid w:val="00FE6779"/>
    <w:rsid w:val="00FE67B5"/>
    <w:rsid w:val="00FE6D81"/>
    <w:rsid w:val="00FE7E73"/>
    <w:rsid w:val="00FE7F5F"/>
    <w:rsid w:val="00FF0076"/>
    <w:rsid w:val="00FF039A"/>
    <w:rsid w:val="00FF039E"/>
    <w:rsid w:val="00FF05DB"/>
    <w:rsid w:val="00FF17FE"/>
    <w:rsid w:val="00FF18B3"/>
    <w:rsid w:val="00FF198B"/>
    <w:rsid w:val="00FF22DF"/>
    <w:rsid w:val="00FF23A5"/>
    <w:rsid w:val="00FF2604"/>
    <w:rsid w:val="00FF27A9"/>
    <w:rsid w:val="00FF2A4E"/>
    <w:rsid w:val="00FF3436"/>
    <w:rsid w:val="00FF3C81"/>
    <w:rsid w:val="00FF47B8"/>
    <w:rsid w:val="00FF5362"/>
    <w:rsid w:val="00FF5692"/>
    <w:rsid w:val="00FF706E"/>
    <w:rsid w:val="077A63AD"/>
    <w:rsid w:val="0C00270D"/>
    <w:rsid w:val="0C4C0E68"/>
    <w:rsid w:val="0D49B71F"/>
    <w:rsid w:val="0DC33374"/>
    <w:rsid w:val="0EE58780"/>
    <w:rsid w:val="14F050C4"/>
    <w:rsid w:val="17ADDDB9"/>
    <w:rsid w:val="18275A0E"/>
    <w:rsid w:val="1A5AF925"/>
    <w:rsid w:val="1D7D312B"/>
    <w:rsid w:val="213B97A2"/>
    <w:rsid w:val="2502AB2D"/>
    <w:rsid w:val="2623F331"/>
    <w:rsid w:val="296C1F25"/>
    <w:rsid w:val="2A8E7331"/>
    <w:rsid w:val="2DB0AB37"/>
    <w:rsid w:val="2E755DC6"/>
    <w:rsid w:val="2F9862F3"/>
    <w:rsid w:val="2FE44A4E"/>
    <w:rsid w:val="305DC6A3"/>
    <w:rsid w:val="352F715E"/>
    <w:rsid w:val="36A6966A"/>
    <w:rsid w:val="3BFC6D87"/>
    <w:rsid w:val="3DE42543"/>
    <w:rsid w:val="3E5AB37D"/>
    <w:rsid w:val="3EA8D7D2"/>
    <w:rsid w:val="3FBCE925"/>
    <w:rsid w:val="4FEE4E0A"/>
    <w:rsid w:val="5223E65A"/>
    <w:rsid w:val="538118C0"/>
    <w:rsid w:val="5C63619F"/>
    <w:rsid w:val="67136F94"/>
    <w:rsid w:val="6A0C725B"/>
    <w:rsid w:val="6C96DBAB"/>
    <w:rsid w:val="7186D8C7"/>
    <w:rsid w:val="73778861"/>
    <w:rsid w:val="747AE45B"/>
    <w:rsid w:val="785A2DE4"/>
    <w:rsid w:val="7A9B165B"/>
    <w:rsid w:val="7DD1A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FA48C31"/>
  <w15:chartTrackingRefBased/>
  <w15:docId w15:val="{7CB58E50-D06B-42E8-B23E-3C5375C8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Cit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C96"/>
    <w:pPr>
      <w:spacing w:line="480" w:lineRule="auto"/>
    </w:pPr>
    <w:rPr>
      <w:rFonts w:ascii="Arial" w:hAnsi="Arial"/>
      <w:sz w:val="24"/>
      <w:szCs w:val="24"/>
    </w:rPr>
  </w:style>
  <w:style w:type="paragraph" w:styleId="Heading1">
    <w:name w:val="heading 1"/>
    <w:basedOn w:val="Normal"/>
    <w:next w:val="Normal"/>
    <w:link w:val="Heading1Char"/>
    <w:qFormat/>
    <w:rsid w:val="0054381E"/>
    <w:pPr>
      <w:keepNext/>
      <w:numPr>
        <w:numId w:val="2"/>
      </w:numPr>
      <w:shd w:val="clear" w:color="auto" w:fill="FFFFFF"/>
      <w:outlineLvl w:val="0"/>
    </w:pPr>
    <w:rPr>
      <w:rFonts w:cs="Arial"/>
      <w:b/>
    </w:rPr>
  </w:style>
  <w:style w:type="paragraph" w:styleId="Heading2">
    <w:name w:val="heading 2"/>
    <w:basedOn w:val="Heading1"/>
    <w:next w:val="Normal"/>
    <w:link w:val="Heading2Char"/>
    <w:qFormat/>
    <w:rsid w:val="004C5417"/>
    <w:pPr>
      <w:numPr>
        <w:ilvl w:val="1"/>
      </w:numPr>
      <w:ind w:left="1440" w:hanging="720"/>
      <w:outlineLvl w:val="1"/>
    </w:pPr>
  </w:style>
  <w:style w:type="paragraph" w:styleId="Heading3">
    <w:name w:val="heading 3"/>
    <w:basedOn w:val="Heading2"/>
    <w:next w:val="Normal"/>
    <w:link w:val="Heading3Char"/>
    <w:qFormat/>
    <w:rsid w:val="003F7EBE"/>
    <w:pPr>
      <w:numPr>
        <w:ilvl w:val="2"/>
      </w:numPr>
      <w:spacing w:after="240" w:line="240" w:lineRule="auto"/>
      <w:ind w:left="2160" w:hanging="720"/>
      <w:outlineLvl w:val="2"/>
    </w:pPr>
  </w:style>
  <w:style w:type="paragraph" w:styleId="Heading4">
    <w:name w:val="heading 4"/>
    <w:basedOn w:val="Heading3"/>
    <w:next w:val="Normal"/>
    <w:link w:val="Heading4Char"/>
    <w:qFormat/>
    <w:rsid w:val="00E35541"/>
    <w:pPr>
      <w:numPr>
        <w:ilvl w:val="4"/>
      </w:numPr>
      <w:ind w:left="28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paranum3">
    <w:name w:val="cparanum3"/>
    <w:rsid w:val="009D4844"/>
    <w:rPr>
      <w:vanish w:val="0"/>
      <w:webHidden w:val="0"/>
      <w:specVanish w:val="0"/>
    </w:rPr>
  </w:style>
  <w:style w:type="paragraph" w:styleId="BodyTextIndent2">
    <w:name w:val="Body Text Indent 2"/>
    <w:basedOn w:val="Normal"/>
    <w:rsid w:val="009D4844"/>
    <w:pPr>
      <w:ind w:left="360" w:firstLine="360"/>
    </w:pPr>
    <w:rPr>
      <w:rFonts w:cs="Arial"/>
      <w:sz w:val="22"/>
      <w:szCs w:val="22"/>
    </w:rPr>
  </w:style>
  <w:style w:type="paragraph" w:styleId="BalloonText">
    <w:name w:val="Balloon Text"/>
    <w:basedOn w:val="Normal"/>
    <w:semiHidden/>
    <w:rsid w:val="00833C33"/>
    <w:rPr>
      <w:rFonts w:ascii="Tahoma" w:hAnsi="Tahoma" w:cs="Tahoma"/>
      <w:sz w:val="16"/>
      <w:szCs w:val="16"/>
    </w:rPr>
  </w:style>
  <w:style w:type="character" w:customStyle="1" w:styleId="ptext-1">
    <w:name w:val="ptext-1"/>
    <w:basedOn w:val="DefaultParagraphFont"/>
    <w:rsid w:val="00E61276"/>
  </w:style>
  <w:style w:type="paragraph" w:styleId="HTMLPreformatted">
    <w:name w:val="HTML Preformatted"/>
    <w:basedOn w:val="Normal"/>
    <w:rsid w:val="00E6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pPr>
    <w:rPr>
      <w:rFonts w:ascii="Georgia" w:hAnsi="Georgia" w:cs="Courier New"/>
      <w:sz w:val="20"/>
      <w:szCs w:val="20"/>
    </w:rPr>
  </w:style>
  <w:style w:type="character" w:styleId="Hyperlink">
    <w:name w:val="Hyperlink"/>
    <w:rsid w:val="00215AA4"/>
    <w:rPr>
      <w:color w:val="0000FF"/>
      <w:u w:val="single"/>
    </w:rPr>
  </w:style>
  <w:style w:type="character" w:styleId="CommentReference">
    <w:name w:val="annotation reference"/>
    <w:uiPriority w:val="99"/>
    <w:rsid w:val="00C56C3D"/>
    <w:rPr>
      <w:sz w:val="16"/>
      <w:szCs w:val="16"/>
    </w:rPr>
  </w:style>
  <w:style w:type="paragraph" w:styleId="CommentText">
    <w:name w:val="annotation text"/>
    <w:basedOn w:val="Normal"/>
    <w:link w:val="CommentTextChar"/>
    <w:uiPriority w:val="99"/>
    <w:semiHidden/>
    <w:rsid w:val="00C56C3D"/>
    <w:rPr>
      <w:sz w:val="20"/>
      <w:szCs w:val="20"/>
    </w:rPr>
  </w:style>
  <w:style w:type="paragraph" w:styleId="CommentSubject">
    <w:name w:val="annotation subject"/>
    <w:basedOn w:val="CommentText"/>
    <w:next w:val="CommentText"/>
    <w:semiHidden/>
    <w:rsid w:val="00C56C3D"/>
    <w:rPr>
      <w:b/>
      <w:bCs/>
    </w:rPr>
  </w:style>
  <w:style w:type="character" w:styleId="FollowedHyperlink">
    <w:name w:val="FollowedHyperlink"/>
    <w:rsid w:val="008333AC"/>
    <w:rPr>
      <w:color w:val="800080"/>
      <w:u w:val="single"/>
    </w:rPr>
  </w:style>
  <w:style w:type="paragraph" w:styleId="NormalWeb">
    <w:name w:val="Normal (Web)"/>
    <w:basedOn w:val="Normal"/>
    <w:rsid w:val="000675BE"/>
    <w:pPr>
      <w:spacing w:before="100" w:beforeAutospacing="1" w:after="100" w:afterAutospacing="1" w:line="240" w:lineRule="auto"/>
    </w:pPr>
    <w:rPr>
      <w:rFonts w:ascii="Times New Roman" w:hAnsi="Times New Roman"/>
    </w:rPr>
  </w:style>
  <w:style w:type="paragraph" w:styleId="PlainText">
    <w:name w:val="Plain Text"/>
    <w:basedOn w:val="Normal"/>
    <w:rsid w:val="00D64887"/>
    <w:pPr>
      <w:spacing w:line="240" w:lineRule="auto"/>
    </w:pPr>
    <w:rPr>
      <w:rFonts w:ascii="Courier New" w:hAnsi="Courier New" w:cs="Courier New"/>
      <w:sz w:val="20"/>
      <w:szCs w:val="20"/>
    </w:rPr>
  </w:style>
  <w:style w:type="character" w:customStyle="1" w:styleId="ptext-2">
    <w:name w:val="ptext-2"/>
    <w:basedOn w:val="DefaultParagraphFont"/>
    <w:rsid w:val="008C15B9"/>
  </w:style>
  <w:style w:type="character" w:customStyle="1" w:styleId="enumbell">
    <w:name w:val="enumbell"/>
    <w:rsid w:val="008C15B9"/>
    <w:rPr>
      <w:b/>
      <w:bCs/>
    </w:rPr>
  </w:style>
  <w:style w:type="paragraph" w:styleId="Footer">
    <w:name w:val="footer"/>
    <w:basedOn w:val="Normal"/>
    <w:rsid w:val="00014A3D"/>
    <w:pPr>
      <w:tabs>
        <w:tab w:val="center" w:pos="4320"/>
        <w:tab w:val="right" w:pos="8640"/>
      </w:tabs>
    </w:pPr>
  </w:style>
  <w:style w:type="character" w:styleId="PageNumber">
    <w:name w:val="page number"/>
    <w:basedOn w:val="DefaultParagraphFont"/>
    <w:rsid w:val="00014A3D"/>
  </w:style>
  <w:style w:type="paragraph" w:styleId="Header">
    <w:name w:val="header"/>
    <w:basedOn w:val="Normal"/>
    <w:rsid w:val="00B7139F"/>
    <w:pPr>
      <w:tabs>
        <w:tab w:val="center" w:pos="4320"/>
        <w:tab w:val="right" w:pos="8640"/>
      </w:tabs>
    </w:pPr>
  </w:style>
  <w:style w:type="character" w:customStyle="1" w:styleId="CommentTextChar">
    <w:name w:val="Comment Text Char"/>
    <w:link w:val="CommentText"/>
    <w:uiPriority w:val="99"/>
    <w:semiHidden/>
    <w:rsid w:val="008D7E9D"/>
    <w:rPr>
      <w:rFonts w:ascii="Arial" w:hAnsi="Arial"/>
    </w:rPr>
  </w:style>
  <w:style w:type="paragraph" w:styleId="ListParagraph">
    <w:name w:val="List Paragraph"/>
    <w:basedOn w:val="Normal"/>
    <w:link w:val="ListParagraphChar"/>
    <w:uiPriority w:val="34"/>
    <w:qFormat/>
    <w:rsid w:val="00054564"/>
    <w:pPr>
      <w:numPr>
        <w:numId w:val="3"/>
      </w:numPr>
    </w:pPr>
    <w:rPr>
      <w:rFonts w:eastAsia="Arial" w:cs="Arial"/>
    </w:rPr>
  </w:style>
  <w:style w:type="character" w:customStyle="1" w:styleId="ListParagraphChar">
    <w:name w:val="List Paragraph Char"/>
    <w:link w:val="ListParagraph"/>
    <w:uiPriority w:val="34"/>
    <w:locked/>
    <w:rsid w:val="00054564"/>
    <w:rPr>
      <w:rFonts w:ascii="Arial" w:eastAsia="Arial" w:hAnsi="Arial" w:cs="Arial"/>
      <w:sz w:val="24"/>
      <w:szCs w:val="24"/>
    </w:rPr>
  </w:style>
  <w:style w:type="character" w:customStyle="1" w:styleId="zxref">
    <w:name w:val="zxref"/>
    <w:rsid w:val="005F129F"/>
    <w:rPr>
      <w:color w:val="0000FF"/>
    </w:rPr>
  </w:style>
  <w:style w:type="paragraph" w:styleId="Revision">
    <w:name w:val="Revision"/>
    <w:hidden/>
    <w:uiPriority w:val="99"/>
    <w:semiHidden/>
    <w:rsid w:val="007F1912"/>
    <w:rPr>
      <w:rFonts w:ascii="Arial" w:hAnsi="Arial"/>
      <w:sz w:val="24"/>
      <w:szCs w:val="24"/>
    </w:rPr>
  </w:style>
  <w:style w:type="character" w:styleId="Emphasis">
    <w:name w:val="Emphasis"/>
    <w:basedOn w:val="DefaultParagraphFont"/>
    <w:uiPriority w:val="20"/>
    <w:qFormat/>
    <w:rsid w:val="00F739BC"/>
    <w:rPr>
      <w:i/>
      <w:iCs/>
    </w:rPr>
  </w:style>
  <w:style w:type="character" w:styleId="UnresolvedMention">
    <w:name w:val="Unresolved Mention"/>
    <w:basedOn w:val="DefaultParagraphFont"/>
    <w:uiPriority w:val="99"/>
    <w:semiHidden/>
    <w:unhideWhenUsed/>
    <w:rsid w:val="00AA7B15"/>
    <w:rPr>
      <w:color w:val="605E5C"/>
      <w:shd w:val="clear" w:color="auto" w:fill="E1DFDD"/>
    </w:rPr>
  </w:style>
  <w:style w:type="paragraph" w:styleId="FootnoteText">
    <w:name w:val="footnote text"/>
    <w:basedOn w:val="Normal"/>
    <w:link w:val="FootnoteTextChar"/>
    <w:autoRedefine/>
    <w:uiPriority w:val="99"/>
    <w:qFormat/>
    <w:rsid w:val="00A87398"/>
    <w:pPr>
      <w:spacing w:after="120" w:line="240" w:lineRule="auto"/>
    </w:pPr>
    <w:rPr>
      <w:sz w:val="20"/>
      <w:szCs w:val="20"/>
    </w:rPr>
  </w:style>
  <w:style w:type="character" w:customStyle="1" w:styleId="FootnoteTextChar">
    <w:name w:val="Footnote Text Char"/>
    <w:basedOn w:val="DefaultParagraphFont"/>
    <w:link w:val="FootnoteText"/>
    <w:uiPriority w:val="99"/>
    <w:rsid w:val="00A87398"/>
    <w:rPr>
      <w:rFonts w:ascii="Arial" w:hAnsi="Arial"/>
    </w:rPr>
  </w:style>
  <w:style w:type="character" w:styleId="FootnoteReference">
    <w:name w:val="footnote reference"/>
    <w:basedOn w:val="DefaultParagraphFont"/>
    <w:uiPriority w:val="99"/>
    <w:rsid w:val="003E037A"/>
    <w:rPr>
      <w:vertAlign w:val="superscript"/>
    </w:rPr>
  </w:style>
  <w:style w:type="character" w:customStyle="1" w:styleId="Heading1Char">
    <w:name w:val="Heading 1 Char"/>
    <w:basedOn w:val="DefaultParagraphFont"/>
    <w:link w:val="Heading1"/>
    <w:rsid w:val="0054381E"/>
    <w:rPr>
      <w:rFonts w:ascii="Arial" w:hAnsi="Arial" w:cs="Arial"/>
      <w:b/>
      <w:sz w:val="24"/>
      <w:szCs w:val="24"/>
      <w:shd w:val="clear" w:color="auto" w:fill="FFFFFF"/>
    </w:rPr>
  </w:style>
  <w:style w:type="character" w:customStyle="1" w:styleId="Heading2Char">
    <w:name w:val="Heading 2 Char"/>
    <w:basedOn w:val="DefaultParagraphFont"/>
    <w:link w:val="Heading2"/>
    <w:rsid w:val="000A0C96"/>
    <w:rPr>
      <w:rFonts w:ascii="Arial" w:hAnsi="Arial" w:cs="Arial"/>
      <w:b/>
      <w:sz w:val="24"/>
      <w:szCs w:val="24"/>
      <w:shd w:val="clear" w:color="auto" w:fill="FFFFFF"/>
    </w:rPr>
  </w:style>
  <w:style w:type="character" w:customStyle="1" w:styleId="Heading3Char">
    <w:name w:val="Heading 3 Char"/>
    <w:basedOn w:val="DefaultParagraphFont"/>
    <w:link w:val="Heading3"/>
    <w:rsid w:val="003F7EBE"/>
    <w:rPr>
      <w:rFonts w:ascii="Arial" w:hAnsi="Arial" w:cs="Arial"/>
      <w:b/>
      <w:sz w:val="24"/>
      <w:szCs w:val="24"/>
      <w:shd w:val="clear" w:color="auto" w:fill="FFFFFF"/>
    </w:rPr>
  </w:style>
  <w:style w:type="character" w:customStyle="1" w:styleId="Heading4Char">
    <w:name w:val="Heading 4 Char"/>
    <w:basedOn w:val="DefaultParagraphFont"/>
    <w:link w:val="Heading4"/>
    <w:rsid w:val="00E35541"/>
    <w:rPr>
      <w:rFonts w:ascii="Arial" w:hAnsi="Arial" w:cs="Arial"/>
      <w:b/>
      <w:sz w:val="24"/>
      <w:szCs w:val="24"/>
      <w:shd w:val="clear" w:color="auto" w:fill="FFFFFF"/>
    </w:rPr>
  </w:style>
  <w:style w:type="character" w:styleId="HTMLCite">
    <w:name w:val="HTML Cite"/>
    <w:basedOn w:val="DefaultParagraphFont"/>
    <w:uiPriority w:val="99"/>
    <w:unhideWhenUsed/>
    <w:rsid w:val="000D49D4"/>
    <w:rPr>
      <w:i/>
      <w:iCs/>
    </w:rPr>
  </w:style>
  <w:style w:type="paragraph" w:styleId="NoSpacing">
    <w:name w:val="No Spacing"/>
    <w:uiPriority w:val="1"/>
    <w:qFormat/>
    <w:rsid w:val="00D1211D"/>
    <w:rPr>
      <w:rFonts w:asciiTheme="minorHAnsi" w:eastAsiaTheme="minorHAnsi" w:hAnsiTheme="minorHAnsi" w:cstheme="minorBidi"/>
      <w:sz w:val="22"/>
      <w:szCs w:val="22"/>
    </w:rPr>
  </w:style>
  <w:style w:type="paragraph" w:styleId="TOC2">
    <w:name w:val="toc 2"/>
    <w:basedOn w:val="Normal"/>
    <w:next w:val="Normal"/>
    <w:autoRedefine/>
    <w:uiPriority w:val="39"/>
    <w:rsid w:val="00ED02A1"/>
    <w:pPr>
      <w:spacing w:after="100"/>
      <w:ind w:left="240"/>
    </w:pPr>
  </w:style>
  <w:style w:type="paragraph" w:styleId="TOC1">
    <w:name w:val="toc 1"/>
    <w:basedOn w:val="Normal"/>
    <w:next w:val="Normal"/>
    <w:autoRedefine/>
    <w:uiPriority w:val="39"/>
    <w:rsid w:val="00ED02A1"/>
    <w:pPr>
      <w:spacing w:after="100"/>
    </w:pPr>
  </w:style>
  <w:style w:type="paragraph" w:styleId="TOC3">
    <w:name w:val="toc 3"/>
    <w:basedOn w:val="Normal"/>
    <w:next w:val="Normal"/>
    <w:autoRedefine/>
    <w:uiPriority w:val="39"/>
    <w:rsid w:val="00ED02A1"/>
    <w:pPr>
      <w:spacing w:after="100"/>
      <w:ind w:left="480"/>
    </w:pPr>
  </w:style>
  <w:style w:type="paragraph" w:styleId="TOC4">
    <w:name w:val="toc 4"/>
    <w:basedOn w:val="Normal"/>
    <w:next w:val="Normal"/>
    <w:autoRedefine/>
    <w:uiPriority w:val="39"/>
    <w:rsid w:val="00ED02A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2123">
      <w:bodyDiv w:val="1"/>
      <w:marLeft w:val="0"/>
      <w:marRight w:val="0"/>
      <w:marTop w:val="0"/>
      <w:marBottom w:val="0"/>
      <w:divBdr>
        <w:top w:val="none" w:sz="0" w:space="0" w:color="auto"/>
        <w:left w:val="none" w:sz="0" w:space="0" w:color="auto"/>
        <w:bottom w:val="none" w:sz="0" w:space="0" w:color="auto"/>
        <w:right w:val="none" w:sz="0" w:space="0" w:color="auto"/>
      </w:divBdr>
    </w:div>
    <w:div w:id="81493410">
      <w:bodyDiv w:val="1"/>
      <w:marLeft w:val="0"/>
      <w:marRight w:val="0"/>
      <w:marTop w:val="0"/>
      <w:marBottom w:val="0"/>
      <w:divBdr>
        <w:top w:val="none" w:sz="0" w:space="0" w:color="auto"/>
        <w:left w:val="none" w:sz="0" w:space="0" w:color="auto"/>
        <w:bottom w:val="none" w:sz="0" w:space="0" w:color="auto"/>
        <w:right w:val="none" w:sz="0" w:space="0" w:color="auto"/>
      </w:divBdr>
    </w:div>
    <w:div w:id="89588119">
      <w:bodyDiv w:val="1"/>
      <w:marLeft w:val="0"/>
      <w:marRight w:val="0"/>
      <w:marTop w:val="0"/>
      <w:marBottom w:val="0"/>
      <w:divBdr>
        <w:top w:val="none" w:sz="0" w:space="0" w:color="auto"/>
        <w:left w:val="none" w:sz="0" w:space="0" w:color="auto"/>
        <w:bottom w:val="none" w:sz="0" w:space="0" w:color="auto"/>
        <w:right w:val="none" w:sz="0" w:space="0" w:color="auto"/>
      </w:divBdr>
      <w:divsChild>
        <w:div w:id="217011046">
          <w:marLeft w:val="0"/>
          <w:marRight w:val="0"/>
          <w:marTop w:val="0"/>
          <w:marBottom w:val="0"/>
          <w:divBdr>
            <w:top w:val="none" w:sz="0" w:space="0" w:color="auto"/>
            <w:left w:val="none" w:sz="0" w:space="0" w:color="auto"/>
            <w:bottom w:val="none" w:sz="0" w:space="0" w:color="auto"/>
            <w:right w:val="none" w:sz="0" w:space="0" w:color="auto"/>
          </w:divBdr>
          <w:divsChild>
            <w:div w:id="1685981869">
              <w:marLeft w:val="0"/>
              <w:marRight w:val="0"/>
              <w:marTop w:val="0"/>
              <w:marBottom w:val="0"/>
              <w:divBdr>
                <w:top w:val="none" w:sz="0" w:space="0" w:color="auto"/>
                <w:left w:val="none" w:sz="0" w:space="0" w:color="auto"/>
                <w:bottom w:val="none" w:sz="0" w:space="0" w:color="auto"/>
                <w:right w:val="none" w:sz="0" w:space="0" w:color="auto"/>
              </w:divBdr>
              <w:divsChild>
                <w:div w:id="428425810">
                  <w:marLeft w:val="-225"/>
                  <w:marRight w:val="-225"/>
                  <w:marTop w:val="0"/>
                  <w:marBottom w:val="0"/>
                  <w:divBdr>
                    <w:top w:val="none" w:sz="0" w:space="0" w:color="auto"/>
                    <w:left w:val="none" w:sz="0" w:space="0" w:color="auto"/>
                    <w:bottom w:val="none" w:sz="0" w:space="0" w:color="auto"/>
                    <w:right w:val="none" w:sz="0" w:space="0" w:color="auto"/>
                  </w:divBdr>
                  <w:divsChild>
                    <w:div w:id="1867790357">
                      <w:marLeft w:val="0"/>
                      <w:marRight w:val="0"/>
                      <w:marTop w:val="0"/>
                      <w:marBottom w:val="0"/>
                      <w:divBdr>
                        <w:top w:val="none" w:sz="0" w:space="0" w:color="auto"/>
                        <w:left w:val="none" w:sz="0" w:space="0" w:color="auto"/>
                        <w:bottom w:val="none" w:sz="0" w:space="0" w:color="auto"/>
                        <w:right w:val="none" w:sz="0" w:space="0" w:color="auto"/>
                      </w:divBdr>
                      <w:divsChild>
                        <w:div w:id="1795247326">
                          <w:marLeft w:val="0"/>
                          <w:marRight w:val="0"/>
                          <w:marTop w:val="0"/>
                          <w:marBottom w:val="300"/>
                          <w:divBdr>
                            <w:top w:val="none" w:sz="0" w:space="0" w:color="auto"/>
                            <w:left w:val="none" w:sz="0" w:space="0" w:color="auto"/>
                            <w:bottom w:val="none" w:sz="0" w:space="0" w:color="auto"/>
                            <w:right w:val="none" w:sz="0" w:space="0" w:color="auto"/>
                          </w:divBdr>
                          <w:divsChild>
                            <w:div w:id="184754061">
                              <w:marLeft w:val="0"/>
                              <w:marRight w:val="0"/>
                              <w:marTop w:val="0"/>
                              <w:marBottom w:val="0"/>
                              <w:divBdr>
                                <w:top w:val="none" w:sz="0" w:space="0" w:color="auto"/>
                                <w:left w:val="none" w:sz="0" w:space="0" w:color="auto"/>
                                <w:bottom w:val="none" w:sz="0" w:space="0" w:color="auto"/>
                                <w:right w:val="none" w:sz="0" w:space="0" w:color="auto"/>
                              </w:divBdr>
                              <w:divsChild>
                                <w:div w:id="233853702">
                                  <w:marLeft w:val="150"/>
                                  <w:marRight w:val="0"/>
                                  <w:marTop w:val="0"/>
                                  <w:marBottom w:val="0"/>
                                  <w:divBdr>
                                    <w:top w:val="none" w:sz="0" w:space="0" w:color="auto"/>
                                    <w:left w:val="none" w:sz="0" w:space="0" w:color="auto"/>
                                    <w:bottom w:val="none" w:sz="0" w:space="0" w:color="auto"/>
                                    <w:right w:val="none" w:sz="0" w:space="0" w:color="auto"/>
                                  </w:divBdr>
                                  <w:divsChild>
                                    <w:div w:id="1553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8984">
      <w:bodyDiv w:val="1"/>
      <w:marLeft w:val="0"/>
      <w:marRight w:val="0"/>
      <w:marTop w:val="0"/>
      <w:marBottom w:val="0"/>
      <w:divBdr>
        <w:top w:val="none" w:sz="0" w:space="0" w:color="auto"/>
        <w:left w:val="none" w:sz="0" w:space="0" w:color="auto"/>
        <w:bottom w:val="none" w:sz="0" w:space="0" w:color="auto"/>
        <w:right w:val="none" w:sz="0" w:space="0" w:color="auto"/>
      </w:divBdr>
    </w:div>
    <w:div w:id="120734249">
      <w:bodyDiv w:val="1"/>
      <w:marLeft w:val="30"/>
      <w:marRight w:val="30"/>
      <w:marTop w:val="30"/>
      <w:marBottom w:val="30"/>
      <w:divBdr>
        <w:top w:val="none" w:sz="0" w:space="0" w:color="auto"/>
        <w:left w:val="none" w:sz="0" w:space="0" w:color="auto"/>
        <w:bottom w:val="none" w:sz="0" w:space="0" w:color="auto"/>
        <w:right w:val="none" w:sz="0" w:space="0" w:color="auto"/>
      </w:divBdr>
      <w:divsChild>
        <w:div w:id="924924358">
          <w:marLeft w:val="0"/>
          <w:marRight w:val="0"/>
          <w:marTop w:val="0"/>
          <w:marBottom w:val="0"/>
          <w:divBdr>
            <w:top w:val="none" w:sz="0" w:space="0" w:color="auto"/>
            <w:left w:val="none" w:sz="0" w:space="0" w:color="auto"/>
            <w:bottom w:val="none" w:sz="0" w:space="0" w:color="auto"/>
            <w:right w:val="none" w:sz="0" w:space="0" w:color="auto"/>
          </w:divBdr>
          <w:divsChild>
            <w:div w:id="366608639">
              <w:marLeft w:val="45"/>
              <w:marRight w:val="45"/>
              <w:marTop w:val="45"/>
              <w:marBottom w:val="45"/>
              <w:divBdr>
                <w:top w:val="none" w:sz="0" w:space="0" w:color="auto"/>
                <w:left w:val="none" w:sz="0" w:space="0" w:color="auto"/>
                <w:bottom w:val="none" w:sz="0" w:space="0" w:color="auto"/>
                <w:right w:val="none" w:sz="0" w:space="0" w:color="auto"/>
              </w:divBdr>
              <w:divsChild>
                <w:div w:id="1277834157">
                  <w:marLeft w:val="0"/>
                  <w:marRight w:val="0"/>
                  <w:marTop w:val="0"/>
                  <w:marBottom w:val="0"/>
                  <w:divBdr>
                    <w:top w:val="none" w:sz="0" w:space="0" w:color="auto"/>
                    <w:left w:val="none" w:sz="0" w:space="0" w:color="auto"/>
                    <w:bottom w:val="none" w:sz="0" w:space="0" w:color="auto"/>
                    <w:right w:val="none" w:sz="0" w:space="0" w:color="auto"/>
                  </w:divBdr>
                  <w:divsChild>
                    <w:div w:id="289286373">
                      <w:marLeft w:val="360"/>
                      <w:marRight w:val="0"/>
                      <w:marTop w:val="0"/>
                      <w:marBottom w:val="0"/>
                      <w:divBdr>
                        <w:top w:val="none" w:sz="0" w:space="0" w:color="auto"/>
                        <w:left w:val="none" w:sz="0" w:space="0" w:color="auto"/>
                        <w:bottom w:val="none" w:sz="0" w:space="0" w:color="auto"/>
                        <w:right w:val="none" w:sz="0" w:space="0" w:color="auto"/>
                      </w:divBdr>
                    </w:div>
                    <w:div w:id="1797026229">
                      <w:marLeft w:val="360"/>
                      <w:marRight w:val="0"/>
                      <w:marTop w:val="0"/>
                      <w:marBottom w:val="0"/>
                      <w:divBdr>
                        <w:top w:val="none" w:sz="0" w:space="0" w:color="auto"/>
                        <w:left w:val="none" w:sz="0" w:space="0" w:color="auto"/>
                        <w:bottom w:val="none" w:sz="0" w:space="0" w:color="auto"/>
                        <w:right w:val="none" w:sz="0" w:space="0" w:color="auto"/>
                      </w:divBdr>
                    </w:div>
                    <w:div w:id="19059862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7365">
      <w:bodyDiv w:val="1"/>
      <w:marLeft w:val="0"/>
      <w:marRight w:val="0"/>
      <w:marTop w:val="0"/>
      <w:marBottom w:val="0"/>
      <w:divBdr>
        <w:top w:val="none" w:sz="0" w:space="0" w:color="auto"/>
        <w:left w:val="none" w:sz="0" w:space="0" w:color="auto"/>
        <w:bottom w:val="none" w:sz="0" w:space="0" w:color="auto"/>
        <w:right w:val="none" w:sz="0" w:space="0" w:color="auto"/>
      </w:divBdr>
    </w:div>
    <w:div w:id="150298373">
      <w:bodyDiv w:val="1"/>
      <w:marLeft w:val="0"/>
      <w:marRight w:val="0"/>
      <w:marTop w:val="0"/>
      <w:marBottom w:val="0"/>
      <w:divBdr>
        <w:top w:val="none" w:sz="0" w:space="0" w:color="auto"/>
        <w:left w:val="none" w:sz="0" w:space="0" w:color="auto"/>
        <w:bottom w:val="none" w:sz="0" w:space="0" w:color="auto"/>
        <w:right w:val="none" w:sz="0" w:space="0" w:color="auto"/>
      </w:divBdr>
      <w:divsChild>
        <w:div w:id="1084304511">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93857179">
      <w:bodyDiv w:val="1"/>
      <w:marLeft w:val="0"/>
      <w:marRight w:val="0"/>
      <w:marTop w:val="0"/>
      <w:marBottom w:val="0"/>
      <w:divBdr>
        <w:top w:val="none" w:sz="0" w:space="0" w:color="auto"/>
        <w:left w:val="none" w:sz="0" w:space="0" w:color="auto"/>
        <w:bottom w:val="none" w:sz="0" w:space="0" w:color="auto"/>
        <w:right w:val="none" w:sz="0" w:space="0" w:color="auto"/>
      </w:divBdr>
      <w:divsChild>
        <w:div w:id="2083914465">
          <w:marLeft w:val="0"/>
          <w:marRight w:val="0"/>
          <w:marTop w:val="0"/>
          <w:marBottom w:val="0"/>
          <w:divBdr>
            <w:top w:val="none" w:sz="0" w:space="0" w:color="auto"/>
            <w:left w:val="none" w:sz="0" w:space="0" w:color="auto"/>
            <w:bottom w:val="none" w:sz="0" w:space="0" w:color="auto"/>
            <w:right w:val="none" w:sz="0" w:space="0" w:color="auto"/>
          </w:divBdr>
          <w:divsChild>
            <w:div w:id="1554925176">
              <w:marLeft w:val="0"/>
              <w:marRight w:val="0"/>
              <w:marTop w:val="0"/>
              <w:marBottom w:val="0"/>
              <w:divBdr>
                <w:top w:val="none" w:sz="0" w:space="0" w:color="auto"/>
                <w:left w:val="none" w:sz="0" w:space="0" w:color="auto"/>
                <w:bottom w:val="none" w:sz="0" w:space="0" w:color="auto"/>
                <w:right w:val="none" w:sz="0" w:space="0" w:color="auto"/>
              </w:divBdr>
              <w:divsChild>
                <w:div w:id="1778257743">
                  <w:marLeft w:val="-225"/>
                  <w:marRight w:val="-225"/>
                  <w:marTop w:val="0"/>
                  <w:marBottom w:val="0"/>
                  <w:divBdr>
                    <w:top w:val="none" w:sz="0" w:space="0" w:color="auto"/>
                    <w:left w:val="none" w:sz="0" w:space="0" w:color="auto"/>
                    <w:bottom w:val="none" w:sz="0" w:space="0" w:color="auto"/>
                    <w:right w:val="none" w:sz="0" w:space="0" w:color="auto"/>
                  </w:divBdr>
                  <w:divsChild>
                    <w:div w:id="2052074735">
                      <w:marLeft w:val="0"/>
                      <w:marRight w:val="0"/>
                      <w:marTop w:val="0"/>
                      <w:marBottom w:val="0"/>
                      <w:divBdr>
                        <w:top w:val="none" w:sz="0" w:space="0" w:color="auto"/>
                        <w:left w:val="none" w:sz="0" w:space="0" w:color="auto"/>
                        <w:bottom w:val="none" w:sz="0" w:space="0" w:color="auto"/>
                        <w:right w:val="none" w:sz="0" w:space="0" w:color="auto"/>
                      </w:divBdr>
                      <w:divsChild>
                        <w:div w:id="938029082">
                          <w:marLeft w:val="0"/>
                          <w:marRight w:val="0"/>
                          <w:marTop w:val="0"/>
                          <w:marBottom w:val="300"/>
                          <w:divBdr>
                            <w:top w:val="none" w:sz="0" w:space="0" w:color="auto"/>
                            <w:left w:val="none" w:sz="0" w:space="0" w:color="auto"/>
                            <w:bottom w:val="none" w:sz="0" w:space="0" w:color="auto"/>
                            <w:right w:val="none" w:sz="0" w:space="0" w:color="auto"/>
                          </w:divBdr>
                          <w:divsChild>
                            <w:div w:id="524976018">
                              <w:marLeft w:val="0"/>
                              <w:marRight w:val="0"/>
                              <w:marTop w:val="0"/>
                              <w:marBottom w:val="0"/>
                              <w:divBdr>
                                <w:top w:val="none" w:sz="0" w:space="0" w:color="auto"/>
                                <w:left w:val="none" w:sz="0" w:space="0" w:color="auto"/>
                                <w:bottom w:val="none" w:sz="0" w:space="0" w:color="auto"/>
                                <w:right w:val="none" w:sz="0" w:space="0" w:color="auto"/>
                              </w:divBdr>
                              <w:divsChild>
                                <w:div w:id="972904456">
                                  <w:marLeft w:val="150"/>
                                  <w:marRight w:val="0"/>
                                  <w:marTop w:val="0"/>
                                  <w:marBottom w:val="0"/>
                                  <w:divBdr>
                                    <w:top w:val="none" w:sz="0" w:space="0" w:color="auto"/>
                                    <w:left w:val="none" w:sz="0" w:space="0" w:color="auto"/>
                                    <w:bottom w:val="none" w:sz="0" w:space="0" w:color="auto"/>
                                    <w:right w:val="none" w:sz="0" w:space="0" w:color="auto"/>
                                  </w:divBdr>
                                  <w:divsChild>
                                    <w:div w:id="19195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91150">
      <w:bodyDiv w:val="1"/>
      <w:marLeft w:val="0"/>
      <w:marRight w:val="0"/>
      <w:marTop w:val="0"/>
      <w:marBottom w:val="0"/>
      <w:divBdr>
        <w:top w:val="none" w:sz="0" w:space="0" w:color="auto"/>
        <w:left w:val="none" w:sz="0" w:space="0" w:color="auto"/>
        <w:bottom w:val="none" w:sz="0" w:space="0" w:color="auto"/>
        <w:right w:val="none" w:sz="0" w:space="0" w:color="auto"/>
      </w:divBdr>
      <w:divsChild>
        <w:div w:id="293099803">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15557196">
      <w:bodyDiv w:val="1"/>
      <w:marLeft w:val="30"/>
      <w:marRight w:val="30"/>
      <w:marTop w:val="30"/>
      <w:marBottom w:val="30"/>
      <w:divBdr>
        <w:top w:val="none" w:sz="0" w:space="0" w:color="auto"/>
        <w:left w:val="none" w:sz="0" w:space="0" w:color="auto"/>
        <w:bottom w:val="none" w:sz="0" w:space="0" w:color="auto"/>
        <w:right w:val="none" w:sz="0" w:space="0" w:color="auto"/>
      </w:divBdr>
      <w:divsChild>
        <w:div w:id="510723333">
          <w:marLeft w:val="0"/>
          <w:marRight w:val="0"/>
          <w:marTop w:val="0"/>
          <w:marBottom w:val="0"/>
          <w:divBdr>
            <w:top w:val="none" w:sz="0" w:space="0" w:color="auto"/>
            <w:left w:val="none" w:sz="0" w:space="0" w:color="auto"/>
            <w:bottom w:val="none" w:sz="0" w:space="0" w:color="auto"/>
            <w:right w:val="none" w:sz="0" w:space="0" w:color="auto"/>
          </w:divBdr>
          <w:divsChild>
            <w:div w:id="1333216942">
              <w:marLeft w:val="45"/>
              <w:marRight w:val="45"/>
              <w:marTop w:val="45"/>
              <w:marBottom w:val="45"/>
              <w:divBdr>
                <w:top w:val="none" w:sz="0" w:space="0" w:color="auto"/>
                <w:left w:val="none" w:sz="0" w:space="0" w:color="auto"/>
                <w:bottom w:val="none" w:sz="0" w:space="0" w:color="auto"/>
                <w:right w:val="none" w:sz="0" w:space="0" w:color="auto"/>
              </w:divBdr>
              <w:divsChild>
                <w:div w:id="1595476227">
                  <w:marLeft w:val="0"/>
                  <w:marRight w:val="0"/>
                  <w:marTop w:val="0"/>
                  <w:marBottom w:val="0"/>
                  <w:divBdr>
                    <w:top w:val="none" w:sz="0" w:space="0" w:color="auto"/>
                    <w:left w:val="none" w:sz="0" w:space="0" w:color="auto"/>
                    <w:bottom w:val="none" w:sz="0" w:space="0" w:color="auto"/>
                    <w:right w:val="none" w:sz="0" w:space="0" w:color="auto"/>
                  </w:divBdr>
                  <w:divsChild>
                    <w:div w:id="166872854">
                      <w:marLeft w:val="180"/>
                      <w:marRight w:val="0"/>
                      <w:marTop w:val="0"/>
                      <w:marBottom w:val="0"/>
                      <w:divBdr>
                        <w:top w:val="none" w:sz="0" w:space="0" w:color="auto"/>
                        <w:left w:val="none" w:sz="0" w:space="0" w:color="auto"/>
                        <w:bottom w:val="none" w:sz="0" w:space="0" w:color="auto"/>
                        <w:right w:val="none" w:sz="0" w:space="0" w:color="auto"/>
                      </w:divBdr>
                    </w:div>
                    <w:div w:id="478378957">
                      <w:marLeft w:val="360"/>
                      <w:marRight w:val="0"/>
                      <w:marTop w:val="0"/>
                      <w:marBottom w:val="0"/>
                      <w:divBdr>
                        <w:top w:val="none" w:sz="0" w:space="0" w:color="auto"/>
                        <w:left w:val="none" w:sz="0" w:space="0" w:color="auto"/>
                        <w:bottom w:val="none" w:sz="0" w:space="0" w:color="auto"/>
                        <w:right w:val="none" w:sz="0" w:space="0" w:color="auto"/>
                      </w:divBdr>
                    </w:div>
                    <w:div w:id="559095203">
                      <w:marLeft w:val="900"/>
                      <w:marRight w:val="0"/>
                      <w:marTop w:val="0"/>
                      <w:marBottom w:val="0"/>
                      <w:divBdr>
                        <w:top w:val="none" w:sz="0" w:space="0" w:color="auto"/>
                        <w:left w:val="none" w:sz="0" w:space="0" w:color="auto"/>
                        <w:bottom w:val="none" w:sz="0" w:space="0" w:color="auto"/>
                        <w:right w:val="none" w:sz="0" w:space="0" w:color="auto"/>
                      </w:divBdr>
                    </w:div>
                    <w:div w:id="634406578">
                      <w:marLeft w:val="360"/>
                      <w:marRight w:val="0"/>
                      <w:marTop w:val="0"/>
                      <w:marBottom w:val="0"/>
                      <w:divBdr>
                        <w:top w:val="none" w:sz="0" w:space="0" w:color="auto"/>
                        <w:left w:val="none" w:sz="0" w:space="0" w:color="auto"/>
                        <w:bottom w:val="none" w:sz="0" w:space="0" w:color="auto"/>
                        <w:right w:val="none" w:sz="0" w:space="0" w:color="auto"/>
                      </w:divBdr>
                    </w:div>
                    <w:div w:id="739907473">
                      <w:marLeft w:val="360"/>
                      <w:marRight w:val="0"/>
                      <w:marTop w:val="0"/>
                      <w:marBottom w:val="0"/>
                      <w:divBdr>
                        <w:top w:val="none" w:sz="0" w:space="0" w:color="auto"/>
                        <w:left w:val="none" w:sz="0" w:space="0" w:color="auto"/>
                        <w:bottom w:val="none" w:sz="0" w:space="0" w:color="auto"/>
                        <w:right w:val="none" w:sz="0" w:space="0" w:color="auto"/>
                      </w:divBdr>
                    </w:div>
                    <w:div w:id="767892540">
                      <w:marLeft w:val="360"/>
                      <w:marRight w:val="0"/>
                      <w:marTop w:val="0"/>
                      <w:marBottom w:val="0"/>
                      <w:divBdr>
                        <w:top w:val="none" w:sz="0" w:space="0" w:color="auto"/>
                        <w:left w:val="none" w:sz="0" w:space="0" w:color="auto"/>
                        <w:bottom w:val="none" w:sz="0" w:space="0" w:color="auto"/>
                        <w:right w:val="none" w:sz="0" w:space="0" w:color="auto"/>
                      </w:divBdr>
                    </w:div>
                    <w:div w:id="785468237">
                      <w:marLeft w:val="360"/>
                      <w:marRight w:val="0"/>
                      <w:marTop w:val="0"/>
                      <w:marBottom w:val="0"/>
                      <w:divBdr>
                        <w:top w:val="none" w:sz="0" w:space="0" w:color="auto"/>
                        <w:left w:val="none" w:sz="0" w:space="0" w:color="auto"/>
                        <w:bottom w:val="none" w:sz="0" w:space="0" w:color="auto"/>
                        <w:right w:val="none" w:sz="0" w:space="0" w:color="auto"/>
                      </w:divBdr>
                    </w:div>
                    <w:div w:id="1002658719">
                      <w:marLeft w:val="0"/>
                      <w:marRight w:val="0"/>
                      <w:marTop w:val="0"/>
                      <w:marBottom w:val="0"/>
                      <w:divBdr>
                        <w:top w:val="none" w:sz="0" w:space="0" w:color="auto"/>
                        <w:left w:val="none" w:sz="0" w:space="0" w:color="auto"/>
                        <w:bottom w:val="none" w:sz="0" w:space="0" w:color="auto"/>
                        <w:right w:val="none" w:sz="0" w:space="0" w:color="auto"/>
                      </w:divBdr>
                    </w:div>
                    <w:div w:id="1059137696">
                      <w:marLeft w:val="360"/>
                      <w:marRight w:val="0"/>
                      <w:marTop w:val="0"/>
                      <w:marBottom w:val="0"/>
                      <w:divBdr>
                        <w:top w:val="none" w:sz="0" w:space="0" w:color="auto"/>
                        <w:left w:val="none" w:sz="0" w:space="0" w:color="auto"/>
                        <w:bottom w:val="none" w:sz="0" w:space="0" w:color="auto"/>
                        <w:right w:val="none" w:sz="0" w:space="0" w:color="auto"/>
                      </w:divBdr>
                    </w:div>
                    <w:div w:id="1503475722">
                      <w:marLeft w:val="0"/>
                      <w:marRight w:val="0"/>
                      <w:marTop w:val="0"/>
                      <w:marBottom w:val="0"/>
                      <w:divBdr>
                        <w:top w:val="none" w:sz="0" w:space="0" w:color="auto"/>
                        <w:left w:val="none" w:sz="0" w:space="0" w:color="auto"/>
                        <w:bottom w:val="none" w:sz="0" w:space="0" w:color="auto"/>
                        <w:right w:val="none" w:sz="0" w:space="0" w:color="auto"/>
                      </w:divBdr>
                    </w:div>
                    <w:div w:id="1585382489">
                      <w:marLeft w:val="180"/>
                      <w:marRight w:val="0"/>
                      <w:marTop w:val="0"/>
                      <w:marBottom w:val="0"/>
                      <w:divBdr>
                        <w:top w:val="none" w:sz="0" w:space="0" w:color="auto"/>
                        <w:left w:val="none" w:sz="0" w:space="0" w:color="auto"/>
                        <w:bottom w:val="none" w:sz="0" w:space="0" w:color="auto"/>
                        <w:right w:val="none" w:sz="0" w:space="0" w:color="auto"/>
                      </w:divBdr>
                    </w:div>
                    <w:div w:id="1636450478">
                      <w:marLeft w:val="360"/>
                      <w:marRight w:val="0"/>
                      <w:marTop w:val="0"/>
                      <w:marBottom w:val="0"/>
                      <w:divBdr>
                        <w:top w:val="none" w:sz="0" w:space="0" w:color="auto"/>
                        <w:left w:val="none" w:sz="0" w:space="0" w:color="auto"/>
                        <w:bottom w:val="none" w:sz="0" w:space="0" w:color="auto"/>
                        <w:right w:val="none" w:sz="0" w:space="0" w:color="auto"/>
                      </w:divBdr>
                    </w:div>
                    <w:div w:id="1967396086">
                      <w:marLeft w:val="0"/>
                      <w:marRight w:val="0"/>
                      <w:marTop w:val="0"/>
                      <w:marBottom w:val="0"/>
                      <w:divBdr>
                        <w:top w:val="none" w:sz="0" w:space="0" w:color="auto"/>
                        <w:left w:val="none" w:sz="0" w:space="0" w:color="auto"/>
                        <w:bottom w:val="none" w:sz="0" w:space="0" w:color="auto"/>
                        <w:right w:val="none" w:sz="0" w:space="0" w:color="auto"/>
                      </w:divBdr>
                      <w:divsChild>
                        <w:div w:id="1100684116">
                          <w:marLeft w:val="180"/>
                          <w:marRight w:val="0"/>
                          <w:marTop w:val="0"/>
                          <w:marBottom w:val="0"/>
                          <w:divBdr>
                            <w:top w:val="none" w:sz="0" w:space="0" w:color="auto"/>
                            <w:left w:val="none" w:sz="0" w:space="0" w:color="auto"/>
                            <w:bottom w:val="none" w:sz="0" w:space="0" w:color="auto"/>
                            <w:right w:val="none" w:sz="0" w:space="0" w:color="auto"/>
                          </w:divBdr>
                          <w:divsChild>
                            <w:div w:id="1161197041">
                              <w:marLeft w:val="180"/>
                              <w:marRight w:val="0"/>
                              <w:marTop w:val="0"/>
                              <w:marBottom w:val="0"/>
                              <w:divBdr>
                                <w:top w:val="none" w:sz="0" w:space="0" w:color="auto"/>
                                <w:left w:val="none" w:sz="0" w:space="0" w:color="auto"/>
                                <w:bottom w:val="none" w:sz="0" w:space="0" w:color="auto"/>
                                <w:right w:val="none" w:sz="0" w:space="0" w:color="auto"/>
                              </w:divBdr>
                              <w:divsChild>
                                <w:div w:id="577793547">
                                  <w:marLeft w:val="0"/>
                                  <w:marRight w:val="0"/>
                                  <w:marTop w:val="0"/>
                                  <w:marBottom w:val="0"/>
                                  <w:divBdr>
                                    <w:top w:val="none" w:sz="0" w:space="0" w:color="auto"/>
                                    <w:left w:val="none" w:sz="0" w:space="0" w:color="auto"/>
                                    <w:bottom w:val="none" w:sz="0" w:space="0" w:color="auto"/>
                                    <w:right w:val="none" w:sz="0" w:space="0" w:color="auto"/>
                                  </w:divBdr>
                                </w:div>
                                <w:div w:id="1521629653">
                                  <w:marLeft w:val="180"/>
                                  <w:marRight w:val="0"/>
                                  <w:marTop w:val="0"/>
                                  <w:marBottom w:val="0"/>
                                  <w:divBdr>
                                    <w:top w:val="none" w:sz="0" w:space="0" w:color="auto"/>
                                    <w:left w:val="none" w:sz="0" w:space="0" w:color="auto"/>
                                    <w:bottom w:val="none" w:sz="0" w:space="0" w:color="auto"/>
                                    <w:right w:val="none" w:sz="0" w:space="0" w:color="auto"/>
                                  </w:divBdr>
                                  <w:divsChild>
                                    <w:div w:id="904873301">
                                      <w:marLeft w:val="180"/>
                                      <w:marRight w:val="0"/>
                                      <w:marTop w:val="0"/>
                                      <w:marBottom w:val="0"/>
                                      <w:divBdr>
                                        <w:top w:val="none" w:sz="0" w:space="0" w:color="auto"/>
                                        <w:left w:val="none" w:sz="0" w:space="0" w:color="auto"/>
                                        <w:bottom w:val="none" w:sz="0" w:space="0" w:color="auto"/>
                                        <w:right w:val="none" w:sz="0" w:space="0" w:color="auto"/>
                                      </w:divBdr>
                                      <w:divsChild>
                                        <w:div w:id="2122911793">
                                          <w:marLeft w:val="0"/>
                                          <w:marRight w:val="0"/>
                                          <w:marTop w:val="0"/>
                                          <w:marBottom w:val="0"/>
                                          <w:divBdr>
                                            <w:top w:val="none" w:sz="0" w:space="0" w:color="auto"/>
                                            <w:left w:val="none" w:sz="0" w:space="0" w:color="auto"/>
                                            <w:bottom w:val="none" w:sz="0" w:space="0" w:color="auto"/>
                                            <w:right w:val="none" w:sz="0" w:space="0" w:color="auto"/>
                                          </w:divBdr>
                                        </w:div>
                                      </w:divsChild>
                                    </w:div>
                                    <w:div w:id="14237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341">
                              <w:marLeft w:val="0"/>
                              <w:marRight w:val="0"/>
                              <w:marTop w:val="0"/>
                              <w:marBottom w:val="0"/>
                              <w:divBdr>
                                <w:top w:val="none" w:sz="0" w:space="0" w:color="auto"/>
                                <w:left w:val="none" w:sz="0" w:space="0" w:color="auto"/>
                                <w:bottom w:val="none" w:sz="0" w:space="0" w:color="auto"/>
                                <w:right w:val="none" w:sz="0" w:space="0" w:color="auto"/>
                              </w:divBdr>
                            </w:div>
                          </w:divsChild>
                        </w:div>
                        <w:div w:id="1507791078">
                          <w:marLeft w:val="0"/>
                          <w:marRight w:val="0"/>
                          <w:marTop w:val="0"/>
                          <w:marBottom w:val="0"/>
                          <w:divBdr>
                            <w:top w:val="none" w:sz="0" w:space="0" w:color="auto"/>
                            <w:left w:val="none" w:sz="0" w:space="0" w:color="auto"/>
                            <w:bottom w:val="none" w:sz="0" w:space="0" w:color="auto"/>
                            <w:right w:val="none" w:sz="0" w:space="0" w:color="auto"/>
                          </w:divBdr>
                        </w:div>
                      </w:divsChild>
                    </w:div>
                    <w:div w:id="20523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02624">
      <w:bodyDiv w:val="1"/>
      <w:marLeft w:val="0"/>
      <w:marRight w:val="0"/>
      <w:marTop w:val="0"/>
      <w:marBottom w:val="0"/>
      <w:divBdr>
        <w:top w:val="none" w:sz="0" w:space="0" w:color="auto"/>
        <w:left w:val="none" w:sz="0" w:space="0" w:color="auto"/>
        <w:bottom w:val="none" w:sz="0" w:space="0" w:color="auto"/>
        <w:right w:val="none" w:sz="0" w:space="0" w:color="auto"/>
      </w:divBdr>
      <w:divsChild>
        <w:div w:id="921378598">
          <w:marLeft w:val="0"/>
          <w:marRight w:val="0"/>
          <w:marTop w:val="0"/>
          <w:marBottom w:val="0"/>
          <w:divBdr>
            <w:top w:val="single" w:sz="6" w:space="0" w:color="999999"/>
            <w:left w:val="single" w:sz="6" w:space="0" w:color="999999"/>
            <w:bottom w:val="single" w:sz="6" w:space="0" w:color="999999"/>
            <w:right w:val="single" w:sz="6" w:space="0" w:color="999999"/>
          </w:divBdr>
          <w:divsChild>
            <w:div w:id="138000762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241258068">
      <w:bodyDiv w:val="1"/>
      <w:marLeft w:val="0"/>
      <w:marRight w:val="0"/>
      <w:marTop w:val="0"/>
      <w:marBottom w:val="0"/>
      <w:divBdr>
        <w:top w:val="none" w:sz="0" w:space="0" w:color="auto"/>
        <w:left w:val="none" w:sz="0" w:space="0" w:color="auto"/>
        <w:bottom w:val="none" w:sz="0" w:space="0" w:color="auto"/>
        <w:right w:val="none" w:sz="0" w:space="0" w:color="auto"/>
      </w:divBdr>
    </w:div>
    <w:div w:id="278529758">
      <w:bodyDiv w:val="1"/>
      <w:marLeft w:val="0"/>
      <w:marRight w:val="0"/>
      <w:marTop w:val="0"/>
      <w:marBottom w:val="0"/>
      <w:divBdr>
        <w:top w:val="none" w:sz="0" w:space="0" w:color="auto"/>
        <w:left w:val="none" w:sz="0" w:space="0" w:color="auto"/>
        <w:bottom w:val="none" w:sz="0" w:space="0" w:color="auto"/>
        <w:right w:val="none" w:sz="0" w:space="0" w:color="auto"/>
      </w:divBdr>
      <w:divsChild>
        <w:div w:id="1950237224">
          <w:marLeft w:val="0"/>
          <w:marRight w:val="0"/>
          <w:marTop w:val="0"/>
          <w:marBottom w:val="0"/>
          <w:divBdr>
            <w:top w:val="none" w:sz="0" w:space="0" w:color="auto"/>
            <w:left w:val="none" w:sz="0" w:space="0" w:color="auto"/>
            <w:bottom w:val="none" w:sz="0" w:space="0" w:color="auto"/>
            <w:right w:val="none" w:sz="0" w:space="0" w:color="auto"/>
          </w:divBdr>
          <w:divsChild>
            <w:div w:id="935362118">
              <w:marLeft w:val="0"/>
              <w:marRight w:val="0"/>
              <w:marTop w:val="0"/>
              <w:marBottom w:val="0"/>
              <w:divBdr>
                <w:top w:val="none" w:sz="0" w:space="0" w:color="auto"/>
                <w:left w:val="none" w:sz="0" w:space="0" w:color="auto"/>
                <w:bottom w:val="none" w:sz="0" w:space="0" w:color="auto"/>
                <w:right w:val="none" w:sz="0" w:space="0" w:color="auto"/>
              </w:divBdr>
              <w:divsChild>
                <w:div w:id="77947589">
                  <w:marLeft w:val="-225"/>
                  <w:marRight w:val="-225"/>
                  <w:marTop w:val="0"/>
                  <w:marBottom w:val="0"/>
                  <w:divBdr>
                    <w:top w:val="none" w:sz="0" w:space="0" w:color="auto"/>
                    <w:left w:val="none" w:sz="0" w:space="0" w:color="auto"/>
                    <w:bottom w:val="none" w:sz="0" w:space="0" w:color="auto"/>
                    <w:right w:val="none" w:sz="0" w:space="0" w:color="auto"/>
                  </w:divBdr>
                  <w:divsChild>
                    <w:div w:id="1191796956">
                      <w:marLeft w:val="0"/>
                      <w:marRight w:val="0"/>
                      <w:marTop w:val="0"/>
                      <w:marBottom w:val="0"/>
                      <w:divBdr>
                        <w:top w:val="none" w:sz="0" w:space="0" w:color="auto"/>
                        <w:left w:val="none" w:sz="0" w:space="0" w:color="auto"/>
                        <w:bottom w:val="none" w:sz="0" w:space="0" w:color="auto"/>
                        <w:right w:val="none" w:sz="0" w:space="0" w:color="auto"/>
                      </w:divBdr>
                      <w:divsChild>
                        <w:div w:id="869878921">
                          <w:marLeft w:val="0"/>
                          <w:marRight w:val="0"/>
                          <w:marTop w:val="0"/>
                          <w:marBottom w:val="300"/>
                          <w:divBdr>
                            <w:top w:val="none" w:sz="0" w:space="0" w:color="auto"/>
                            <w:left w:val="none" w:sz="0" w:space="0" w:color="auto"/>
                            <w:bottom w:val="none" w:sz="0" w:space="0" w:color="auto"/>
                            <w:right w:val="none" w:sz="0" w:space="0" w:color="auto"/>
                          </w:divBdr>
                          <w:divsChild>
                            <w:div w:id="985862383">
                              <w:marLeft w:val="0"/>
                              <w:marRight w:val="0"/>
                              <w:marTop w:val="0"/>
                              <w:marBottom w:val="0"/>
                              <w:divBdr>
                                <w:top w:val="none" w:sz="0" w:space="0" w:color="auto"/>
                                <w:left w:val="none" w:sz="0" w:space="0" w:color="auto"/>
                                <w:bottom w:val="none" w:sz="0" w:space="0" w:color="auto"/>
                                <w:right w:val="none" w:sz="0" w:space="0" w:color="auto"/>
                              </w:divBdr>
                              <w:divsChild>
                                <w:div w:id="953173422">
                                  <w:marLeft w:val="150"/>
                                  <w:marRight w:val="0"/>
                                  <w:marTop w:val="0"/>
                                  <w:marBottom w:val="0"/>
                                  <w:divBdr>
                                    <w:top w:val="none" w:sz="0" w:space="0" w:color="auto"/>
                                    <w:left w:val="none" w:sz="0" w:space="0" w:color="auto"/>
                                    <w:bottom w:val="none" w:sz="0" w:space="0" w:color="auto"/>
                                    <w:right w:val="none" w:sz="0" w:space="0" w:color="auto"/>
                                  </w:divBdr>
                                  <w:divsChild>
                                    <w:div w:id="4803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314119">
      <w:bodyDiv w:val="1"/>
      <w:marLeft w:val="0"/>
      <w:marRight w:val="0"/>
      <w:marTop w:val="0"/>
      <w:marBottom w:val="0"/>
      <w:divBdr>
        <w:top w:val="none" w:sz="0" w:space="0" w:color="auto"/>
        <w:left w:val="none" w:sz="0" w:space="0" w:color="auto"/>
        <w:bottom w:val="none" w:sz="0" w:space="0" w:color="auto"/>
        <w:right w:val="none" w:sz="0" w:space="0" w:color="auto"/>
      </w:divBdr>
      <w:divsChild>
        <w:div w:id="83763513">
          <w:marLeft w:val="0"/>
          <w:marRight w:val="0"/>
          <w:marTop w:val="0"/>
          <w:marBottom w:val="0"/>
          <w:divBdr>
            <w:top w:val="none" w:sz="0" w:space="0" w:color="auto"/>
            <w:left w:val="none" w:sz="0" w:space="0" w:color="auto"/>
            <w:bottom w:val="none" w:sz="0" w:space="0" w:color="auto"/>
            <w:right w:val="none" w:sz="0" w:space="0" w:color="auto"/>
          </w:divBdr>
          <w:divsChild>
            <w:div w:id="1907766009">
              <w:marLeft w:val="0"/>
              <w:marRight w:val="0"/>
              <w:marTop w:val="0"/>
              <w:marBottom w:val="0"/>
              <w:divBdr>
                <w:top w:val="none" w:sz="0" w:space="0" w:color="auto"/>
                <w:left w:val="none" w:sz="0" w:space="0" w:color="auto"/>
                <w:bottom w:val="none" w:sz="0" w:space="0" w:color="auto"/>
                <w:right w:val="none" w:sz="0" w:space="0" w:color="auto"/>
              </w:divBdr>
              <w:divsChild>
                <w:div w:id="634868488">
                  <w:marLeft w:val="-225"/>
                  <w:marRight w:val="-225"/>
                  <w:marTop w:val="0"/>
                  <w:marBottom w:val="0"/>
                  <w:divBdr>
                    <w:top w:val="none" w:sz="0" w:space="0" w:color="auto"/>
                    <w:left w:val="none" w:sz="0" w:space="0" w:color="auto"/>
                    <w:bottom w:val="none" w:sz="0" w:space="0" w:color="auto"/>
                    <w:right w:val="none" w:sz="0" w:space="0" w:color="auto"/>
                  </w:divBdr>
                  <w:divsChild>
                    <w:div w:id="1161778049">
                      <w:marLeft w:val="0"/>
                      <w:marRight w:val="0"/>
                      <w:marTop w:val="0"/>
                      <w:marBottom w:val="0"/>
                      <w:divBdr>
                        <w:top w:val="none" w:sz="0" w:space="0" w:color="auto"/>
                        <w:left w:val="none" w:sz="0" w:space="0" w:color="auto"/>
                        <w:bottom w:val="none" w:sz="0" w:space="0" w:color="auto"/>
                        <w:right w:val="none" w:sz="0" w:space="0" w:color="auto"/>
                      </w:divBdr>
                      <w:divsChild>
                        <w:div w:id="1208759868">
                          <w:marLeft w:val="0"/>
                          <w:marRight w:val="0"/>
                          <w:marTop w:val="0"/>
                          <w:marBottom w:val="300"/>
                          <w:divBdr>
                            <w:top w:val="none" w:sz="0" w:space="0" w:color="auto"/>
                            <w:left w:val="none" w:sz="0" w:space="0" w:color="auto"/>
                            <w:bottom w:val="none" w:sz="0" w:space="0" w:color="auto"/>
                            <w:right w:val="none" w:sz="0" w:space="0" w:color="auto"/>
                          </w:divBdr>
                          <w:divsChild>
                            <w:div w:id="680856872">
                              <w:marLeft w:val="0"/>
                              <w:marRight w:val="0"/>
                              <w:marTop w:val="0"/>
                              <w:marBottom w:val="0"/>
                              <w:divBdr>
                                <w:top w:val="none" w:sz="0" w:space="0" w:color="auto"/>
                                <w:left w:val="none" w:sz="0" w:space="0" w:color="auto"/>
                                <w:bottom w:val="none" w:sz="0" w:space="0" w:color="auto"/>
                                <w:right w:val="none" w:sz="0" w:space="0" w:color="auto"/>
                              </w:divBdr>
                              <w:divsChild>
                                <w:div w:id="1691489507">
                                  <w:marLeft w:val="150"/>
                                  <w:marRight w:val="0"/>
                                  <w:marTop w:val="0"/>
                                  <w:marBottom w:val="0"/>
                                  <w:divBdr>
                                    <w:top w:val="none" w:sz="0" w:space="0" w:color="auto"/>
                                    <w:left w:val="none" w:sz="0" w:space="0" w:color="auto"/>
                                    <w:bottom w:val="none" w:sz="0" w:space="0" w:color="auto"/>
                                    <w:right w:val="none" w:sz="0" w:space="0" w:color="auto"/>
                                  </w:divBdr>
                                  <w:divsChild>
                                    <w:div w:id="16845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97448">
      <w:bodyDiv w:val="1"/>
      <w:marLeft w:val="0"/>
      <w:marRight w:val="0"/>
      <w:marTop w:val="0"/>
      <w:marBottom w:val="0"/>
      <w:divBdr>
        <w:top w:val="none" w:sz="0" w:space="0" w:color="auto"/>
        <w:left w:val="none" w:sz="0" w:space="0" w:color="auto"/>
        <w:bottom w:val="none" w:sz="0" w:space="0" w:color="auto"/>
        <w:right w:val="none" w:sz="0" w:space="0" w:color="auto"/>
      </w:divBdr>
      <w:divsChild>
        <w:div w:id="1113135336">
          <w:marLeft w:val="0"/>
          <w:marRight w:val="0"/>
          <w:marTop w:val="0"/>
          <w:marBottom w:val="0"/>
          <w:divBdr>
            <w:top w:val="none" w:sz="0" w:space="0" w:color="auto"/>
            <w:left w:val="none" w:sz="0" w:space="0" w:color="auto"/>
            <w:bottom w:val="none" w:sz="0" w:space="0" w:color="auto"/>
            <w:right w:val="none" w:sz="0" w:space="0" w:color="auto"/>
          </w:divBdr>
          <w:divsChild>
            <w:div w:id="1010570373">
              <w:marLeft w:val="0"/>
              <w:marRight w:val="0"/>
              <w:marTop w:val="0"/>
              <w:marBottom w:val="0"/>
              <w:divBdr>
                <w:top w:val="none" w:sz="0" w:space="0" w:color="auto"/>
                <w:left w:val="none" w:sz="0" w:space="0" w:color="auto"/>
                <w:bottom w:val="none" w:sz="0" w:space="0" w:color="auto"/>
                <w:right w:val="none" w:sz="0" w:space="0" w:color="auto"/>
              </w:divBdr>
              <w:divsChild>
                <w:div w:id="1917544233">
                  <w:marLeft w:val="-225"/>
                  <w:marRight w:val="-225"/>
                  <w:marTop w:val="0"/>
                  <w:marBottom w:val="0"/>
                  <w:divBdr>
                    <w:top w:val="none" w:sz="0" w:space="0" w:color="auto"/>
                    <w:left w:val="none" w:sz="0" w:space="0" w:color="auto"/>
                    <w:bottom w:val="none" w:sz="0" w:space="0" w:color="auto"/>
                    <w:right w:val="none" w:sz="0" w:space="0" w:color="auto"/>
                  </w:divBdr>
                  <w:divsChild>
                    <w:div w:id="403190233">
                      <w:marLeft w:val="0"/>
                      <w:marRight w:val="0"/>
                      <w:marTop w:val="0"/>
                      <w:marBottom w:val="0"/>
                      <w:divBdr>
                        <w:top w:val="none" w:sz="0" w:space="0" w:color="auto"/>
                        <w:left w:val="none" w:sz="0" w:space="0" w:color="auto"/>
                        <w:bottom w:val="none" w:sz="0" w:space="0" w:color="auto"/>
                        <w:right w:val="none" w:sz="0" w:space="0" w:color="auto"/>
                      </w:divBdr>
                      <w:divsChild>
                        <w:div w:id="724374680">
                          <w:marLeft w:val="0"/>
                          <w:marRight w:val="0"/>
                          <w:marTop w:val="0"/>
                          <w:marBottom w:val="300"/>
                          <w:divBdr>
                            <w:top w:val="none" w:sz="0" w:space="0" w:color="auto"/>
                            <w:left w:val="none" w:sz="0" w:space="0" w:color="auto"/>
                            <w:bottom w:val="none" w:sz="0" w:space="0" w:color="auto"/>
                            <w:right w:val="none" w:sz="0" w:space="0" w:color="auto"/>
                          </w:divBdr>
                          <w:divsChild>
                            <w:div w:id="1937059250">
                              <w:marLeft w:val="0"/>
                              <w:marRight w:val="0"/>
                              <w:marTop w:val="0"/>
                              <w:marBottom w:val="0"/>
                              <w:divBdr>
                                <w:top w:val="none" w:sz="0" w:space="0" w:color="auto"/>
                                <w:left w:val="none" w:sz="0" w:space="0" w:color="auto"/>
                                <w:bottom w:val="none" w:sz="0" w:space="0" w:color="auto"/>
                                <w:right w:val="none" w:sz="0" w:space="0" w:color="auto"/>
                              </w:divBdr>
                              <w:divsChild>
                                <w:div w:id="1329597335">
                                  <w:marLeft w:val="150"/>
                                  <w:marRight w:val="0"/>
                                  <w:marTop w:val="0"/>
                                  <w:marBottom w:val="0"/>
                                  <w:divBdr>
                                    <w:top w:val="none" w:sz="0" w:space="0" w:color="auto"/>
                                    <w:left w:val="none" w:sz="0" w:space="0" w:color="auto"/>
                                    <w:bottom w:val="none" w:sz="0" w:space="0" w:color="auto"/>
                                    <w:right w:val="none" w:sz="0" w:space="0" w:color="auto"/>
                                  </w:divBdr>
                                  <w:divsChild>
                                    <w:div w:id="365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585212">
      <w:bodyDiv w:val="1"/>
      <w:marLeft w:val="0"/>
      <w:marRight w:val="0"/>
      <w:marTop w:val="0"/>
      <w:marBottom w:val="0"/>
      <w:divBdr>
        <w:top w:val="none" w:sz="0" w:space="0" w:color="auto"/>
        <w:left w:val="none" w:sz="0" w:space="0" w:color="auto"/>
        <w:bottom w:val="none" w:sz="0" w:space="0" w:color="auto"/>
        <w:right w:val="none" w:sz="0" w:space="0" w:color="auto"/>
      </w:divBdr>
      <w:divsChild>
        <w:div w:id="65032958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341904213">
      <w:bodyDiv w:val="1"/>
      <w:marLeft w:val="0"/>
      <w:marRight w:val="0"/>
      <w:marTop w:val="0"/>
      <w:marBottom w:val="0"/>
      <w:divBdr>
        <w:top w:val="none" w:sz="0" w:space="0" w:color="auto"/>
        <w:left w:val="none" w:sz="0" w:space="0" w:color="auto"/>
        <w:bottom w:val="none" w:sz="0" w:space="0" w:color="auto"/>
        <w:right w:val="none" w:sz="0" w:space="0" w:color="auto"/>
      </w:divBdr>
    </w:div>
    <w:div w:id="371466610">
      <w:bodyDiv w:val="1"/>
      <w:marLeft w:val="0"/>
      <w:marRight w:val="0"/>
      <w:marTop w:val="0"/>
      <w:marBottom w:val="0"/>
      <w:divBdr>
        <w:top w:val="none" w:sz="0" w:space="0" w:color="auto"/>
        <w:left w:val="none" w:sz="0" w:space="0" w:color="auto"/>
        <w:bottom w:val="none" w:sz="0" w:space="0" w:color="auto"/>
        <w:right w:val="none" w:sz="0" w:space="0" w:color="auto"/>
      </w:divBdr>
    </w:div>
    <w:div w:id="385370765">
      <w:bodyDiv w:val="1"/>
      <w:marLeft w:val="0"/>
      <w:marRight w:val="0"/>
      <w:marTop w:val="0"/>
      <w:marBottom w:val="0"/>
      <w:divBdr>
        <w:top w:val="none" w:sz="0" w:space="0" w:color="auto"/>
        <w:left w:val="none" w:sz="0" w:space="0" w:color="auto"/>
        <w:bottom w:val="none" w:sz="0" w:space="0" w:color="auto"/>
        <w:right w:val="none" w:sz="0" w:space="0" w:color="auto"/>
      </w:divBdr>
      <w:divsChild>
        <w:div w:id="290013282">
          <w:marLeft w:val="0"/>
          <w:marRight w:val="0"/>
          <w:marTop w:val="0"/>
          <w:marBottom w:val="0"/>
          <w:divBdr>
            <w:top w:val="none" w:sz="0" w:space="0" w:color="auto"/>
            <w:left w:val="none" w:sz="0" w:space="0" w:color="auto"/>
            <w:bottom w:val="none" w:sz="0" w:space="0" w:color="auto"/>
            <w:right w:val="none" w:sz="0" w:space="0" w:color="auto"/>
          </w:divBdr>
          <w:divsChild>
            <w:div w:id="1592081312">
              <w:marLeft w:val="0"/>
              <w:marRight w:val="0"/>
              <w:marTop w:val="0"/>
              <w:marBottom w:val="0"/>
              <w:divBdr>
                <w:top w:val="none" w:sz="0" w:space="0" w:color="auto"/>
                <w:left w:val="none" w:sz="0" w:space="0" w:color="auto"/>
                <w:bottom w:val="none" w:sz="0" w:space="0" w:color="auto"/>
                <w:right w:val="none" w:sz="0" w:space="0" w:color="auto"/>
              </w:divBdr>
              <w:divsChild>
                <w:div w:id="1933464461">
                  <w:marLeft w:val="-225"/>
                  <w:marRight w:val="-225"/>
                  <w:marTop w:val="0"/>
                  <w:marBottom w:val="0"/>
                  <w:divBdr>
                    <w:top w:val="none" w:sz="0" w:space="0" w:color="auto"/>
                    <w:left w:val="none" w:sz="0" w:space="0" w:color="auto"/>
                    <w:bottom w:val="none" w:sz="0" w:space="0" w:color="auto"/>
                    <w:right w:val="none" w:sz="0" w:space="0" w:color="auto"/>
                  </w:divBdr>
                  <w:divsChild>
                    <w:div w:id="834537289">
                      <w:marLeft w:val="0"/>
                      <w:marRight w:val="0"/>
                      <w:marTop w:val="0"/>
                      <w:marBottom w:val="0"/>
                      <w:divBdr>
                        <w:top w:val="none" w:sz="0" w:space="0" w:color="auto"/>
                        <w:left w:val="none" w:sz="0" w:space="0" w:color="auto"/>
                        <w:bottom w:val="none" w:sz="0" w:space="0" w:color="auto"/>
                        <w:right w:val="none" w:sz="0" w:space="0" w:color="auto"/>
                      </w:divBdr>
                      <w:divsChild>
                        <w:div w:id="1598322457">
                          <w:marLeft w:val="0"/>
                          <w:marRight w:val="0"/>
                          <w:marTop w:val="0"/>
                          <w:marBottom w:val="300"/>
                          <w:divBdr>
                            <w:top w:val="none" w:sz="0" w:space="0" w:color="auto"/>
                            <w:left w:val="none" w:sz="0" w:space="0" w:color="auto"/>
                            <w:bottom w:val="none" w:sz="0" w:space="0" w:color="auto"/>
                            <w:right w:val="none" w:sz="0" w:space="0" w:color="auto"/>
                          </w:divBdr>
                          <w:divsChild>
                            <w:div w:id="1584534792">
                              <w:marLeft w:val="0"/>
                              <w:marRight w:val="0"/>
                              <w:marTop w:val="0"/>
                              <w:marBottom w:val="0"/>
                              <w:divBdr>
                                <w:top w:val="none" w:sz="0" w:space="0" w:color="auto"/>
                                <w:left w:val="none" w:sz="0" w:space="0" w:color="auto"/>
                                <w:bottom w:val="none" w:sz="0" w:space="0" w:color="auto"/>
                                <w:right w:val="none" w:sz="0" w:space="0" w:color="auto"/>
                              </w:divBdr>
                              <w:divsChild>
                                <w:div w:id="1958564879">
                                  <w:marLeft w:val="150"/>
                                  <w:marRight w:val="0"/>
                                  <w:marTop w:val="0"/>
                                  <w:marBottom w:val="0"/>
                                  <w:divBdr>
                                    <w:top w:val="none" w:sz="0" w:space="0" w:color="auto"/>
                                    <w:left w:val="none" w:sz="0" w:space="0" w:color="auto"/>
                                    <w:bottom w:val="none" w:sz="0" w:space="0" w:color="auto"/>
                                    <w:right w:val="none" w:sz="0" w:space="0" w:color="auto"/>
                                  </w:divBdr>
                                  <w:divsChild>
                                    <w:div w:id="8605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461485">
      <w:bodyDiv w:val="1"/>
      <w:marLeft w:val="0"/>
      <w:marRight w:val="0"/>
      <w:marTop w:val="0"/>
      <w:marBottom w:val="0"/>
      <w:divBdr>
        <w:top w:val="none" w:sz="0" w:space="0" w:color="auto"/>
        <w:left w:val="none" w:sz="0" w:space="0" w:color="auto"/>
        <w:bottom w:val="none" w:sz="0" w:space="0" w:color="auto"/>
        <w:right w:val="none" w:sz="0" w:space="0" w:color="auto"/>
      </w:divBdr>
      <w:divsChild>
        <w:div w:id="491064375">
          <w:marLeft w:val="0"/>
          <w:marRight w:val="0"/>
          <w:marTop w:val="0"/>
          <w:marBottom w:val="0"/>
          <w:divBdr>
            <w:top w:val="none" w:sz="0" w:space="0" w:color="auto"/>
            <w:left w:val="none" w:sz="0" w:space="0" w:color="auto"/>
            <w:bottom w:val="none" w:sz="0" w:space="0" w:color="auto"/>
            <w:right w:val="none" w:sz="0" w:space="0" w:color="auto"/>
          </w:divBdr>
          <w:divsChild>
            <w:div w:id="928124216">
              <w:marLeft w:val="0"/>
              <w:marRight w:val="0"/>
              <w:marTop w:val="0"/>
              <w:marBottom w:val="0"/>
              <w:divBdr>
                <w:top w:val="none" w:sz="0" w:space="0" w:color="auto"/>
                <w:left w:val="none" w:sz="0" w:space="0" w:color="auto"/>
                <w:bottom w:val="none" w:sz="0" w:space="0" w:color="auto"/>
                <w:right w:val="none" w:sz="0" w:space="0" w:color="auto"/>
              </w:divBdr>
              <w:divsChild>
                <w:div w:id="830021535">
                  <w:marLeft w:val="-225"/>
                  <w:marRight w:val="-225"/>
                  <w:marTop w:val="0"/>
                  <w:marBottom w:val="0"/>
                  <w:divBdr>
                    <w:top w:val="none" w:sz="0" w:space="0" w:color="auto"/>
                    <w:left w:val="none" w:sz="0" w:space="0" w:color="auto"/>
                    <w:bottom w:val="none" w:sz="0" w:space="0" w:color="auto"/>
                    <w:right w:val="none" w:sz="0" w:space="0" w:color="auto"/>
                  </w:divBdr>
                  <w:divsChild>
                    <w:div w:id="1485470396">
                      <w:marLeft w:val="0"/>
                      <w:marRight w:val="0"/>
                      <w:marTop w:val="0"/>
                      <w:marBottom w:val="0"/>
                      <w:divBdr>
                        <w:top w:val="none" w:sz="0" w:space="0" w:color="auto"/>
                        <w:left w:val="none" w:sz="0" w:space="0" w:color="auto"/>
                        <w:bottom w:val="none" w:sz="0" w:space="0" w:color="auto"/>
                        <w:right w:val="none" w:sz="0" w:space="0" w:color="auto"/>
                      </w:divBdr>
                      <w:divsChild>
                        <w:div w:id="1086459303">
                          <w:marLeft w:val="0"/>
                          <w:marRight w:val="0"/>
                          <w:marTop w:val="0"/>
                          <w:marBottom w:val="300"/>
                          <w:divBdr>
                            <w:top w:val="none" w:sz="0" w:space="0" w:color="auto"/>
                            <w:left w:val="none" w:sz="0" w:space="0" w:color="auto"/>
                            <w:bottom w:val="none" w:sz="0" w:space="0" w:color="auto"/>
                            <w:right w:val="none" w:sz="0" w:space="0" w:color="auto"/>
                          </w:divBdr>
                          <w:divsChild>
                            <w:div w:id="970138955">
                              <w:marLeft w:val="0"/>
                              <w:marRight w:val="0"/>
                              <w:marTop w:val="0"/>
                              <w:marBottom w:val="0"/>
                              <w:divBdr>
                                <w:top w:val="none" w:sz="0" w:space="0" w:color="auto"/>
                                <w:left w:val="none" w:sz="0" w:space="0" w:color="auto"/>
                                <w:bottom w:val="none" w:sz="0" w:space="0" w:color="auto"/>
                                <w:right w:val="none" w:sz="0" w:space="0" w:color="auto"/>
                              </w:divBdr>
                              <w:divsChild>
                                <w:div w:id="1584609596">
                                  <w:marLeft w:val="150"/>
                                  <w:marRight w:val="0"/>
                                  <w:marTop w:val="0"/>
                                  <w:marBottom w:val="0"/>
                                  <w:divBdr>
                                    <w:top w:val="none" w:sz="0" w:space="0" w:color="auto"/>
                                    <w:left w:val="none" w:sz="0" w:space="0" w:color="auto"/>
                                    <w:bottom w:val="none" w:sz="0" w:space="0" w:color="auto"/>
                                    <w:right w:val="none" w:sz="0" w:space="0" w:color="auto"/>
                                  </w:divBdr>
                                  <w:divsChild>
                                    <w:div w:id="3053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325181">
      <w:bodyDiv w:val="1"/>
      <w:marLeft w:val="0"/>
      <w:marRight w:val="0"/>
      <w:marTop w:val="0"/>
      <w:marBottom w:val="0"/>
      <w:divBdr>
        <w:top w:val="none" w:sz="0" w:space="0" w:color="auto"/>
        <w:left w:val="none" w:sz="0" w:space="0" w:color="auto"/>
        <w:bottom w:val="none" w:sz="0" w:space="0" w:color="auto"/>
        <w:right w:val="none" w:sz="0" w:space="0" w:color="auto"/>
      </w:divBdr>
    </w:div>
    <w:div w:id="468716667">
      <w:bodyDiv w:val="1"/>
      <w:marLeft w:val="0"/>
      <w:marRight w:val="0"/>
      <w:marTop w:val="0"/>
      <w:marBottom w:val="0"/>
      <w:divBdr>
        <w:top w:val="none" w:sz="0" w:space="0" w:color="auto"/>
        <w:left w:val="none" w:sz="0" w:space="0" w:color="auto"/>
        <w:bottom w:val="none" w:sz="0" w:space="0" w:color="auto"/>
        <w:right w:val="none" w:sz="0" w:space="0" w:color="auto"/>
      </w:divBdr>
    </w:div>
    <w:div w:id="490025254">
      <w:bodyDiv w:val="1"/>
      <w:marLeft w:val="30"/>
      <w:marRight w:val="30"/>
      <w:marTop w:val="30"/>
      <w:marBottom w:val="30"/>
      <w:divBdr>
        <w:top w:val="none" w:sz="0" w:space="0" w:color="auto"/>
        <w:left w:val="none" w:sz="0" w:space="0" w:color="auto"/>
        <w:bottom w:val="none" w:sz="0" w:space="0" w:color="auto"/>
        <w:right w:val="none" w:sz="0" w:space="0" w:color="auto"/>
      </w:divBdr>
      <w:divsChild>
        <w:div w:id="1847787974">
          <w:marLeft w:val="0"/>
          <w:marRight w:val="0"/>
          <w:marTop w:val="0"/>
          <w:marBottom w:val="0"/>
          <w:divBdr>
            <w:top w:val="none" w:sz="0" w:space="0" w:color="auto"/>
            <w:left w:val="none" w:sz="0" w:space="0" w:color="auto"/>
            <w:bottom w:val="none" w:sz="0" w:space="0" w:color="auto"/>
            <w:right w:val="none" w:sz="0" w:space="0" w:color="auto"/>
          </w:divBdr>
          <w:divsChild>
            <w:div w:id="192696315">
              <w:marLeft w:val="45"/>
              <w:marRight w:val="45"/>
              <w:marTop w:val="45"/>
              <w:marBottom w:val="45"/>
              <w:divBdr>
                <w:top w:val="none" w:sz="0" w:space="0" w:color="auto"/>
                <w:left w:val="none" w:sz="0" w:space="0" w:color="auto"/>
                <w:bottom w:val="none" w:sz="0" w:space="0" w:color="auto"/>
                <w:right w:val="none" w:sz="0" w:space="0" w:color="auto"/>
              </w:divBdr>
              <w:divsChild>
                <w:div w:id="1737166859">
                  <w:marLeft w:val="0"/>
                  <w:marRight w:val="0"/>
                  <w:marTop w:val="0"/>
                  <w:marBottom w:val="0"/>
                  <w:divBdr>
                    <w:top w:val="none" w:sz="0" w:space="0" w:color="auto"/>
                    <w:left w:val="none" w:sz="0" w:space="0" w:color="auto"/>
                    <w:bottom w:val="none" w:sz="0" w:space="0" w:color="auto"/>
                    <w:right w:val="none" w:sz="0" w:space="0" w:color="auto"/>
                  </w:divBdr>
                  <w:divsChild>
                    <w:div w:id="110017725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92439">
      <w:bodyDiv w:val="1"/>
      <w:marLeft w:val="0"/>
      <w:marRight w:val="0"/>
      <w:marTop w:val="0"/>
      <w:marBottom w:val="0"/>
      <w:divBdr>
        <w:top w:val="none" w:sz="0" w:space="0" w:color="auto"/>
        <w:left w:val="none" w:sz="0" w:space="0" w:color="auto"/>
        <w:bottom w:val="none" w:sz="0" w:space="0" w:color="auto"/>
        <w:right w:val="none" w:sz="0" w:space="0" w:color="auto"/>
      </w:divBdr>
    </w:div>
    <w:div w:id="602419564">
      <w:bodyDiv w:val="1"/>
      <w:marLeft w:val="0"/>
      <w:marRight w:val="0"/>
      <w:marTop w:val="0"/>
      <w:marBottom w:val="0"/>
      <w:divBdr>
        <w:top w:val="none" w:sz="0" w:space="0" w:color="auto"/>
        <w:left w:val="none" w:sz="0" w:space="0" w:color="auto"/>
        <w:bottom w:val="none" w:sz="0" w:space="0" w:color="auto"/>
        <w:right w:val="none" w:sz="0" w:space="0" w:color="auto"/>
      </w:divBdr>
    </w:div>
    <w:div w:id="622883565">
      <w:bodyDiv w:val="1"/>
      <w:marLeft w:val="0"/>
      <w:marRight w:val="0"/>
      <w:marTop w:val="0"/>
      <w:marBottom w:val="0"/>
      <w:divBdr>
        <w:top w:val="none" w:sz="0" w:space="0" w:color="auto"/>
        <w:left w:val="none" w:sz="0" w:space="0" w:color="auto"/>
        <w:bottom w:val="none" w:sz="0" w:space="0" w:color="auto"/>
        <w:right w:val="none" w:sz="0" w:space="0" w:color="auto"/>
      </w:divBdr>
      <w:divsChild>
        <w:div w:id="1189874840">
          <w:marLeft w:val="0"/>
          <w:marRight w:val="0"/>
          <w:marTop w:val="0"/>
          <w:marBottom w:val="0"/>
          <w:divBdr>
            <w:top w:val="none" w:sz="0" w:space="0" w:color="auto"/>
            <w:left w:val="none" w:sz="0" w:space="0" w:color="auto"/>
            <w:bottom w:val="none" w:sz="0" w:space="0" w:color="auto"/>
            <w:right w:val="none" w:sz="0" w:space="0" w:color="auto"/>
          </w:divBdr>
        </w:div>
      </w:divsChild>
    </w:div>
    <w:div w:id="717826274">
      <w:bodyDiv w:val="1"/>
      <w:marLeft w:val="0"/>
      <w:marRight w:val="0"/>
      <w:marTop w:val="0"/>
      <w:marBottom w:val="0"/>
      <w:divBdr>
        <w:top w:val="none" w:sz="0" w:space="0" w:color="auto"/>
        <w:left w:val="none" w:sz="0" w:space="0" w:color="auto"/>
        <w:bottom w:val="none" w:sz="0" w:space="0" w:color="auto"/>
        <w:right w:val="none" w:sz="0" w:space="0" w:color="auto"/>
      </w:divBdr>
    </w:div>
    <w:div w:id="760877457">
      <w:bodyDiv w:val="1"/>
      <w:marLeft w:val="0"/>
      <w:marRight w:val="0"/>
      <w:marTop w:val="0"/>
      <w:marBottom w:val="0"/>
      <w:divBdr>
        <w:top w:val="none" w:sz="0" w:space="0" w:color="auto"/>
        <w:left w:val="none" w:sz="0" w:space="0" w:color="auto"/>
        <w:bottom w:val="none" w:sz="0" w:space="0" w:color="auto"/>
        <w:right w:val="none" w:sz="0" w:space="0" w:color="auto"/>
      </w:divBdr>
    </w:div>
    <w:div w:id="809324136">
      <w:bodyDiv w:val="1"/>
      <w:marLeft w:val="0"/>
      <w:marRight w:val="0"/>
      <w:marTop w:val="0"/>
      <w:marBottom w:val="0"/>
      <w:divBdr>
        <w:top w:val="none" w:sz="0" w:space="0" w:color="auto"/>
        <w:left w:val="none" w:sz="0" w:space="0" w:color="auto"/>
        <w:bottom w:val="none" w:sz="0" w:space="0" w:color="auto"/>
        <w:right w:val="none" w:sz="0" w:space="0" w:color="auto"/>
      </w:divBdr>
    </w:div>
    <w:div w:id="824014186">
      <w:bodyDiv w:val="1"/>
      <w:marLeft w:val="0"/>
      <w:marRight w:val="0"/>
      <w:marTop w:val="0"/>
      <w:marBottom w:val="0"/>
      <w:divBdr>
        <w:top w:val="none" w:sz="0" w:space="0" w:color="auto"/>
        <w:left w:val="none" w:sz="0" w:space="0" w:color="auto"/>
        <w:bottom w:val="none" w:sz="0" w:space="0" w:color="auto"/>
        <w:right w:val="none" w:sz="0" w:space="0" w:color="auto"/>
      </w:divBdr>
      <w:divsChild>
        <w:div w:id="1764646213">
          <w:marLeft w:val="0"/>
          <w:marRight w:val="0"/>
          <w:marTop w:val="0"/>
          <w:marBottom w:val="0"/>
          <w:divBdr>
            <w:top w:val="none" w:sz="0" w:space="0" w:color="auto"/>
            <w:left w:val="none" w:sz="0" w:space="0" w:color="auto"/>
            <w:bottom w:val="none" w:sz="0" w:space="0" w:color="auto"/>
            <w:right w:val="none" w:sz="0" w:space="0" w:color="auto"/>
          </w:divBdr>
        </w:div>
      </w:divsChild>
    </w:div>
    <w:div w:id="839271423">
      <w:bodyDiv w:val="1"/>
      <w:marLeft w:val="0"/>
      <w:marRight w:val="0"/>
      <w:marTop w:val="0"/>
      <w:marBottom w:val="0"/>
      <w:divBdr>
        <w:top w:val="none" w:sz="0" w:space="0" w:color="auto"/>
        <w:left w:val="none" w:sz="0" w:space="0" w:color="auto"/>
        <w:bottom w:val="none" w:sz="0" w:space="0" w:color="auto"/>
        <w:right w:val="none" w:sz="0" w:space="0" w:color="auto"/>
      </w:divBdr>
    </w:div>
    <w:div w:id="872040578">
      <w:bodyDiv w:val="1"/>
      <w:marLeft w:val="0"/>
      <w:marRight w:val="0"/>
      <w:marTop w:val="0"/>
      <w:marBottom w:val="0"/>
      <w:divBdr>
        <w:top w:val="none" w:sz="0" w:space="0" w:color="auto"/>
        <w:left w:val="none" w:sz="0" w:space="0" w:color="auto"/>
        <w:bottom w:val="none" w:sz="0" w:space="0" w:color="auto"/>
        <w:right w:val="none" w:sz="0" w:space="0" w:color="auto"/>
      </w:divBdr>
      <w:divsChild>
        <w:div w:id="1999461417">
          <w:marLeft w:val="0"/>
          <w:marRight w:val="0"/>
          <w:marTop w:val="0"/>
          <w:marBottom w:val="0"/>
          <w:divBdr>
            <w:top w:val="none" w:sz="0" w:space="0" w:color="auto"/>
            <w:left w:val="none" w:sz="0" w:space="0" w:color="auto"/>
            <w:bottom w:val="none" w:sz="0" w:space="0" w:color="auto"/>
            <w:right w:val="none" w:sz="0" w:space="0" w:color="auto"/>
          </w:divBdr>
          <w:divsChild>
            <w:div w:id="1412004385">
              <w:marLeft w:val="0"/>
              <w:marRight w:val="0"/>
              <w:marTop w:val="0"/>
              <w:marBottom w:val="0"/>
              <w:divBdr>
                <w:top w:val="none" w:sz="0" w:space="0" w:color="auto"/>
                <w:left w:val="none" w:sz="0" w:space="0" w:color="auto"/>
                <w:bottom w:val="none" w:sz="0" w:space="0" w:color="auto"/>
                <w:right w:val="none" w:sz="0" w:space="0" w:color="auto"/>
              </w:divBdr>
              <w:divsChild>
                <w:div w:id="2049137436">
                  <w:marLeft w:val="-225"/>
                  <w:marRight w:val="-225"/>
                  <w:marTop w:val="0"/>
                  <w:marBottom w:val="0"/>
                  <w:divBdr>
                    <w:top w:val="none" w:sz="0" w:space="0" w:color="auto"/>
                    <w:left w:val="none" w:sz="0" w:space="0" w:color="auto"/>
                    <w:bottom w:val="none" w:sz="0" w:space="0" w:color="auto"/>
                    <w:right w:val="none" w:sz="0" w:space="0" w:color="auto"/>
                  </w:divBdr>
                  <w:divsChild>
                    <w:div w:id="1061055535">
                      <w:marLeft w:val="0"/>
                      <w:marRight w:val="0"/>
                      <w:marTop w:val="0"/>
                      <w:marBottom w:val="0"/>
                      <w:divBdr>
                        <w:top w:val="none" w:sz="0" w:space="0" w:color="auto"/>
                        <w:left w:val="none" w:sz="0" w:space="0" w:color="auto"/>
                        <w:bottom w:val="none" w:sz="0" w:space="0" w:color="auto"/>
                        <w:right w:val="none" w:sz="0" w:space="0" w:color="auto"/>
                      </w:divBdr>
                      <w:divsChild>
                        <w:div w:id="919869844">
                          <w:marLeft w:val="0"/>
                          <w:marRight w:val="0"/>
                          <w:marTop w:val="0"/>
                          <w:marBottom w:val="300"/>
                          <w:divBdr>
                            <w:top w:val="none" w:sz="0" w:space="0" w:color="auto"/>
                            <w:left w:val="none" w:sz="0" w:space="0" w:color="auto"/>
                            <w:bottom w:val="none" w:sz="0" w:space="0" w:color="auto"/>
                            <w:right w:val="none" w:sz="0" w:space="0" w:color="auto"/>
                          </w:divBdr>
                          <w:divsChild>
                            <w:div w:id="387001552">
                              <w:marLeft w:val="0"/>
                              <w:marRight w:val="0"/>
                              <w:marTop w:val="0"/>
                              <w:marBottom w:val="0"/>
                              <w:divBdr>
                                <w:top w:val="none" w:sz="0" w:space="0" w:color="auto"/>
                                <w:left w:val="none" w:sz="0" w:space="0" w:color="auto"/>
                                <w:bottom w:val="none" w:sz="0" w:space="0" w:color="auto"/>
                                <w:right w:val="none" w:sz="0" w:space="0" w:color="auto"/>
                              </w:divBdr>
                              <w:divsChild>
                                <w:div w:id="250698160">
                                  <w:marLeft w:val="150"/>
                                  <w:marRight w:val="0"/>
                                  <w:marTop w:val="0"/>
                                  <w:marBottom w:val="0"/>
                                  <w:divBdr>
                                    <w:top w:val="none" w:sz="0" w:space="0" w:color="auto"/>
                                    <w:left w:val="none" w:sz="0" w:space="0" w:color="auto"/>
                                    <w:bottom w:val="none" w:sz="0" w:space="0" w:color="auto"/>
                                    <w:right w:val="none" w:sz="0" w:space="0" w:color="auto"/>
                                  </w:divBdr>
                                  <w:divsChild>
                                    <w:div w:id="7813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173899">
      <w:bodyDiv w:val="1"/>
      <w:marLeft w:val="0"/>
      <w:marRight w:val="0"/>
      <w:marTop w:val="0"/>
      <w:marBottom w:val="0"/>
      <w:divBdr>
        <w:top w:val="none" w:sz="0" w:space="0" w:color="auto"/>
        <w:left w:val="none" w:sz="0" w:space="0" w:color="auto"/>
        <w:bottom w:val="none" w:sz="0" w:space="0" w:color="auto"/>
        <w:right w:val="none" w:sz="0" w:space="0" w:color="auto"/>
      </w:divBdr>
      <w:divsChild>
        <w:div w:id="1212380550">
          <w:marLeft w:val="0"/>
          <w:marRight w:val="0"/>
          <w:marTop w:val="0"/>
          <w:marBottom w:val="0"/>
          <w:divBdr>
            <w:top w:val="none" w:sz="0" w:space="0" w:color="auto"/>
            <w:left w:val="none" w:sz="0" w:space="0" w:color="auto"/>
            <w:bottom w:val="none" w:sz="0" w:space="0" w:color="auto"/>
            <w:right w:val="none" w:sz="0" w:space="0" w:color="auto"/>
          </w:divBdr>
          <w:divsChild>
            <w:div w:id="857084160">
              <w:marLeft w:val="0"/>
              <w:marRight w:val="0"/>
              <w:marTop w:val="0"/>
              <w:marBottom w:val="0"/>
              <w:divBdr>
                <w:top w:val="none" w:sz="0" w:space="0" w:color="auto"/>
                <w:left w:val="none" w:sz="0" w:space="0" w:color="auto"/>
                <w:bottom w:val="none" w:sz="0" w:space="0" w:color="auto"/>
                <w:right w:val="none" w:sz="0" w:space="0" w:color="auto"/>
              </w:divBdr>
              <w:divsChild>
                <w:div w:id="1157771692">
                  <w:marLeft w:val="-225"/>
                  <w:marRight w:val="-225"/>
                  <w:marTop w:val="0"/>
                  <w:marBottom w:val="0"/>
                  <w:divBdr>
                    <w:top w:val="none" w:sz="0" w:space="0" w:color="auto"/>
                    <w:left w:val="none" w:sz="0" w:space="0" w:color="auto"/>
                    <w:bottom w:val="none" w:sz="0" w:space="0" w:color="auto"/>
                    <w:right w:val="none" w:sz="0" w:space="0" w:color="auto"/>
                  </w:divBdr>
                  <w:divsChild>
                    <w:div w:id="1846355155">
                      <w:marLeft w:val="0"/>
                      <w:marRight w:val="0"/>
                      <w:marTop w:val="0"/>
                      <w:marBottom w:val="0"/>
                      <w:divBdr>
                        <w:top w:val="none" w:sz="0" w:space="0" w:color="auto"/>
                        <w:left w:val="none" w:sz="0" w:space="0" w:color="auto"/>
                        <w:bottom w:val="none" w:sz="0" w:space="0" w:color="auto"/>
                        <w:right w:val="none" w:sz="0" w:space="0" w:color="auto"/>
                      </w:divBdr>
                      <w:divsChild>
                        <w:div w:id="467867873">
                          <w:marLeft w:val="0"/>
                          <w:marRight w:val="0"/>
                          <w:marTop w:val="0"/>
                          <w:marBottom w:val="300"/>
                          <w:divBdr>
                            <w:top w:val="none" w:sz="0" w:space="0" w:color="auto"/>
                            <w:left w:val="none" w:sz="0" w:space="0" w:color="auto"/>
                            <w:bottom w:val="none" w:sz="0" w:space="0" w:color="auto"/>
                            <w:right w:val="none" w:sz="0" w:space="0" w:color="auto"/>
                          </w:divBdr>
                          <w:divsChild>
                            <w:div w:id="1984386935">
                              <w:marLeft w:val="0"/>
                              <w:marRight w:val="0"/>
                              <w:marTop w:val="0"/>
                              <w:marBottom w:val="0"/>
                              <w:divBdr>
                                <w:top w:val="none" w:sz="0" w:space="0" w:color="auto"/>
                                <w:left w:val="none" w:sz="0" w:space="0" w:color="auto"/>
                                <w:bottom w:val="none" w:sz="0" w:space="0" w:color="auto"/>
                                <w:right w:val="none" w:sz="0" w:space="0" w:color="auto"/>
                              </w:divBdr>
                              <w:divsChild>
                                <w:div w:id="1977564577">
                                  <w:marLeft w:val="150"/>
                                  <w:marRight w:val="0"/>
                                  <w:marTop w:val="0"/>
                                  <w:marBottom w:val="0"/>
                                  <w:divBdr>
                                    <w:top w:val="none" w:sz="0" w:space="0" w:color="auto"/>
                                    <w:left w:val="none" w:sz="0" w:space="0" w:color="auto"/>
                                    <w:bottom w:val="none" w:sz="0" w:space="0" w:color="auto"/>
                                    <w:right w:val="none" w:sz="0" w:space="0" w:color="auto"/>
                                  </w:divBdr>
                                  <w:divsChild>
                                    <w:div w:id="16017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748932">
      <w:bodyDiv w:val="1"/>
      <w:marLeft w:val="0"/>
      <w:marRight w:val="0"/>
      <w:marTop w:val="0"/>
      <w:marBottom w:val="0"/>
      <w:divBdr>
        <w:top w:val="none" w:sz="0" w:space="0" w:color="auto"/>
        <w:left w:val="none" w:sz="0" w:space="0" w:color="auto"/>
        <w:bottom w:val="none" w:sz="0" w:space="0" w:color="auto"/>
        <w:right w:val="none" w:sz="0" w:space="0" w:color="auto"/>
      </w:divBdr>
      <w:divsChild>
        <w:div w:id="1552182237">
          <w:marLeft w:val="0"/>
          <w:marRight w:val="0"/>
          <w:marTop w:val="0"/>
          <w:marBottom w:val="0"/>
          <w:divBdr>
            <w:top w:val="none" w:sz="0" w:space="0" w:color="auto"/>
            <w:left w:val="none" w:sz="0" w:space="0" w:color="auto"/>
            <w:bottom w:val="none" w:sz="0" w:space="0" w:color="auto"/>
            <w:right w:val="none" w:sz="0" w:space="0" w:color="auto"/>
          </w:divBdr>
        </w:div>
      </w:divsChild>
    </w:div>
    <w:div w:id="915751248">
      <w:bodyDiv w:val="1"/>
      <w:marLeft w:val="0"/>
      <w:marRight w:val="0"/>
      <w:marTop w:val="0"/>
      <w:marBottom w:val="0"/>
      <w:divBdr>
        <w:top w:val="none" w:sz="0" w:space="0" w:color="auto"/>
        <w:left w:val="none" w:sz="0" w:space="0" w:color="auto"/>
        <w:bottom w:val="none" w:sz="0" w:space="0" w:color="auto"/>
        <w:right w:val="none" w:sz="0" w:space="0" w:color="auto"/>
      </w:divBdr>
    </w:div>
    <w:div w:id="930353398">
      <w:bodyDiv w:val="1"/>
      <w:marLeft w:val="0"/>
      <w:marRight w:val="0"/>
      <w:marTop w:val="0"/>
      <w:marBottom w:val="0"/>
      <w:divBdr>
        <w:top w:val="none" w:sz="0" w:space="0" w:color="auto"/>
        <w:left w:val="none" w:sz="0" w:space="0" w:color="auto"/>
        <w:bottom w:val="none" w:sz="0" w:space="0" w:color="auto"/>
        <w:right w:val="none" w:sz="0" w:space="0" w:color="auto"/>
      </w:divBdr>
    </w:div>
    <w:div w:id="985859602">
      <w:bodyDiv w:val="1"/>
      <w:marLeft w:val="0"/>
      <w:marRight w:val="0"/>
      <w:marTop w:val="0"/>
      <w:marBottom w:val="0"/>
      <w:divBdr>
        <w:top w:val="none" w:sz="0" w:space="0" w:color="auto"/>
        <w:left w:val="none" w:sz="0" w:space="0" w:color="auto"/>
        <w:bottom w:val="none" w:sz="0" w:space="0" w:color="auto"/>
        <w:right w:val="none" w:sz="0" w:space="0" w:color="auto"/>
      </w:divBdr>
      <w:divsChild>
        <w:div w:id="1790973068">
          <w:marLeft w:val="0"/>
          <w:marRight w:val="0"/>
          <w:marTop w:val="0"/>
          <w:marBottom w:val="0"/>
          <w:divBdr>
            <w:top w:val="none" w:sz="0" w:space="0" w:color="auto"/>
            <w:left w:val="none" w:sz="0" w:space="0" w:color="auto"/>
            <w:bottom w:val="none" w:sz="0" w:space="0" w:color="auto"/>
            <w:right w:val="none" w:sz="0" w:space="0" w:color="auto"/>
          </w:divBdr>
          <w:divsChild>
            <w:div w:id="516118350">
              <w:marLeft w:val="0"/>
              <w:marRight w:val="0"/>
              <w:marTop w:val="0"/>
              <w:marBottom w:val="0"/>
              <w:divBdr>
                <w:top w:val="none" w:sz="0" w:space="0" w:color="auto"/>
                <w:left w:val="none" w:sz="0" w:space="0" w:color="auto"/>
                <w:bottom w:val="none" w:sz="0" w:space="0" w:color="auto"/>
                <w:right w:val="none" w:sz="0" w:space="0" w:color="auto"/>
              </w:divBdr>
              <w:divsChild>
                <w:div w:id="736782294">
                  <w:marLeft w:val="-225"/>
                  <w:marRight w:val="-225"/>
                  <w:marTop w:val="0"/>
                  <w:marBottom w:val="0"/>
                  <w:divBdr>
                    <w:top w:val="none" w:sz="0" w:space="0" w:color="auto"/>
                    <w:left w:val="none" w:sz="0" w:space="0" w:color="auto"/>
                    <w:bottom w:val="none" w:sz="0" w:space="0" w:color="auto"/>
                    <w:right w:val="none" w:sz="0" w:space="0" w:color="auto"/>
                  </w:divBdr>
                  <w:divsChild>
                    <w:div w:id="158933456">
                      <w:marLeft w:val="0"/>
                      <w:marRight w:val="0"/>
                      <w:marTop w:val="0"/>
                      <w:marBottom w:val="0"/>
                      <w:divBdr>
                        <w:top w:val="none" w:sz="0" w:space="0" w:color="auto"/>
                        <w:left w:val="none" w:sz="0" w:space="0" w:color="auto"/>
                        <w:bottom w:val="none" w:sz="0" w:space="0" w:color="auto"/>
                        <w:right w:val="none" w:sz="0" w:space="0" w:color="auto"/>
                      </w:divBdr>
                      <w:divsChild>
                        <w:div w:id="2123913179">
                          <w:marLeft w:val="0"/>
                          <w:marRight w:val="0"/>
                          <w:marTop w:val="0"/>
                          <w:marBottom w:val="300"/>
                          <w:divBdr>
                            <w:top w:val="none" w:sz="0" w:space="0" w:color="auto"/>
                            <w:left w:val="none" w:sz="0" w:space="0" w:color="auto"/>
                            <w:bottom w:val="none" w:sz="0" w:space="0" w:color="auto"/>
                            <w:right w:val="none" w:sz="0" w:space="0" w:color="auto"/>
                          </w:divBdr>
                          <w:divsChild>
                            <w:div w:id="1177571494">
                              <w:marLeft w:val="0"/>
                              <w:marRight w:val="0"/>
                              <w:marTop w:val="0"/>
                              <w:marBottom w:val="0"/>
                              <w:divBdr>
                                <w:top w:val="none" w:sz="0" w:space="0" w:color="auto"/>
                                <w:left w:val="none" w:sz="0" w:space="0" w:color="auto"/>
                                <w:bottom w:val="none" w:sz="0" w:space="0" w:color="auto"/>
                                <w:right w:val="none" w:sz="0" w:space="0" w:color="auto"/>
                              </w:divBdr>
                              <w:divsChild>
                                <w:div w:id="227502097">
                                  <w:marLeft w:val="150"/>
                                  <w:marRight w:val="0"/>
                                  <w:marTop w:val="0"/>
                                  <w:marBottom w:val="0"/>
                                  <w:divBdr>
                                    <w:top w:val="none" w:sz="0" w:space="0" w:color="auto"/>
                                    <w:left w:val="none" w:sz="0" w:space="0" w:color="auto"/>
                                    <w:bottom w:val="none" w:sz="0" w:space="0" w:color="auto"/>
                                    <w:right w:val="none" w:sz="0" w:space="0" w:color="auto"/>
                                  </w:divBdr>
                                  <w:divsChild>
                                    <w:div w:id="15458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371141">
      <w:bodyDiv w:val="1"/>
      <w:marLeft w:val="0"/>
      <w:marRight w:val="0"/>
      <w:marTop w:val="0"/>
      <w:marBottom w:val="0"/>
      <w:divBdr>
        <w:top w:val="none" w:sz="0" w:space="0" w:color="auto"/>
        <w:left w:val="none" w:sz="0" w:space="0" w:color="auto"/>
        <w:bottom w:val="none" w:sz="0" w:space="0" w:color="auto"/>
        <w:right w:val="none" w:sz="0" w:space="0" w:color="auto"/>
      </w:divBdr>
      <w:divsChild>
        <w:div w:id="1878469757">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185629259">
      <w:bodyDiv w:val="1"/>
      <w:marLeft w:val="0"/>
      <w:marRight w:val="0"/>
      <w:marTop w:val="0"/>
      <w:marBottom w:val="0"/>
      <w:divBdr>
        <w:top w:val="none" w:sz="0" w:space="0" w:color="auto"/>
        <w:left w:val="none" w:sz="0" w:space="0" w:color="auto"/>
        <w:bottom w:val="none" w:sz="0" w:space="0" w:color="auto"/>
        <w:right w:val="none" w:sz="0" w:space="0" w:color="auto"/>
      </w:divBdr>
    </w:div>
    <w:div w:id="1248415970">
      <w:bodyDiv w:val="1"/>
      <w:marLeft w:val="0"/>
      <w:marRight w:val="0"/>
      <w:marTop w:val="0"/>
      <w:marBottom w:val="0"/>
      <w:divBdr>
        <w:top w:val="none" w:sz="0" w:space="0" w:color="auto"/>
        <w:left w:val="none" w:sz="0" w:space="0" w:color="auto"/>
        <w:bottom w:val="none" w:sz="0" w:space="0" w:color="auto"/>
        <w:right w:val="none" w:sz="0" w:space="0" w:color="auto"/>
      </w:divBdr>
    </w:div>
    <w:div w:id="1380785751">
      <w:bodyDiv w:val="1"/>
      <w:marLeft w:val="0"/>
      <w:marRight w:val="0"/>
      <w:marTop w:val="0"/>
      <w:marBottom w:val="0"/>
      <w:divBdr>
        <w:top w:val="none" w:sz="0" w:space="0" w:color="auto"/>
        <w:left w:val="none" w:sz="0" w:space="0" w:color="auto"/>
        <w:bottom w:val="none" w:sz="0" w:space="0" w:color="auto"/>
        <w:right w:val="none" w:sz="0" w:space="0" w:color="auto"/>
      </w:divBdr>
      <w:divsChild>
        <w:div w:id="1268582336">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86636259">
      <w:bodyDiv w:val="1"/>
      <w:marLeft w:val="0"/>
      <w:marRight w:val="0"/>
      <w:marTop w:val="0"/>
      <w:marBottom w:val="0"/>
      <w:divBdr>
        <w:top w:val="none" w:sz="0" w:space="0" w:color="auto"/>
        <w:left w:val="none" w:sz="0" w:space="0" w:color="auto"/>
        <w:bottom w:val="none" w:sz="0" w:space="0" w:color="auto"/>
        <w:right w:val="none" w:sz="0" w:space="0" w:color="auto"/>
      </w:divBdr>
    </w:div>
    <w:div w:id="1394350213">
      <w:bodyDiv w:val="1"/>
      <w:marLeft w:val="0"/>
      <w:marRight w:val="0"/>
      <w:marTop w:val="0"/>
      <w:marBottom w:val="0"/>
      <w:divBdr>
        <w:top w:val="none" w:sz="0" w:space="0" w:color="auto"/>
        <w:left w:val="none" w:sz="0" w:space="0" w:color="auto"/>
        <w:bottom w:val="none" w:sz="0" w:space="0" w:color="auto"/>
        <w:right w:val="none" w:sz="0" w:space="0" w:color="auto"/>
      </w:divBdr>
      <w:divsChild>
        <w:div w:id="916862378">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403405076">
      <w:bodyDiv w:val="1"/>
      <w:marLeft w:val="0"/>
      <w:marRight w:val="0"/>
      <w:marTop w:val="0"/>
      <w:marBottom w:val="0"/>
      <w:divBdr>
        <w:top w:val="none" w:sz="0" w:space="0" w:color="auto"/>
        <w:left w:val="none" w:sz="0" w:space="0" w:color="auto"/>
        <w:bottom w:val="none" w:sz="0" w:space="0" w:color="auto"/>
        <w:right w:val="none" w:sz="0" w:space="0" w:color="auto"/>
      </w:divBdr>
    </w:div>
    <w:div w:id="1410420732">
      <w:bodyDiv w:val="1"/>
      <w:marLeft w:val="0"/>
      <w:marRight w:val="0"/>
      <w:marTop w:val="0"/>
      <w:marBottom w:val="0"/>
      <w:divBdr>
        <w:top w:val="none" w:sz="0" w:space="0" w:color="auto"/>
        <w:left w:val="none" w:sz="0" w:space="0" w:color="auto"/>
        <w:bottom w:val="none" w:sz="0" w:space="0" w:color="auto"/>
        <w:right w:val="none" w:sz="0" w:space="0" w:color="auto"/>
      </w:divBdr>
    </w:div>
    <w:div w:id="1421490155">
      <w:bodyDiv w:val="1"/>
      <w:marLeft w:val="0"/>
      <w:marRight w:val="0"/>
      <w:marTop w:val="0"/>
      <w:marBottom w:val="0"/>
      <w:divBdr>
        <w:top w:val="none" w:sz="0" w:space="0" w:color="auto"/>
        <w:left w:val="none" w:sz="0" w:space="0" w:color="auto"/>
        <w:bottom w:val="none" w:sz="0" w:space="0" w:color="auto"/>
        <w:right w:val="none" w:sz="0" w:space="0" w:color="auto"/>
      </w:divBdr>
    </w:div>
    <w:div w:id="1440489775">
      <w:bodyDiv w:val="1"/>
      <w:marLeft w:val="0"/>
      <w:marRight w:val="0"/>
      <w:marTop w:val="0"/>
      <w:marBottom w:val="0"/>
      <w:divBdr>
        <w:top w:val="none" w:sz="0" w:space="0" w:color="auto"/>
        <w:left w:val="none" w:sz="0" w:space="0" w:color="auto"/>
        <w:bottom w:val="none" w:sz="0" w:space="0" w:color="auto"/>
        <w:right w:val="none" w:sz="0" w:space="0" w:color="auto"/>
      </w:divBdr>
    </w:div>
    <w:div w:id="1488939773">
      <w:bodyDiv w:val="1"/>
      <w:marLeft w:val="0"/>
      <w:marRight w:val="0"/>
      <w:marTop w:val="0"/>
      <w:marBottom w:val="0"/>
      <w:divBdr>
        <w:top w:val="none" w:sz="0" w:space="0" w:color="auto"/>
        <w:left w:val="none" w:sz="0" w:space="0" w:color="auto"/>
        <w:bottom w:val="none" w:sz="0" w:space="0" w:color="auto"/>
        <w:right w:val="none" w:sz="0" w:space="0" w:color="auto"/>
      </w:divBdr>
    </w:div>
    <w:div w:id="1491093679">
      <w:bodyDiv w:val="1"/>
      <w:marLeft w:val="0"/>
      <w:marRight w:val="0"/>
      <w:marTop w:val="0"/>
      <w:marBottom w:val="0"/>
      <w:divBdr>
        <w:top w:val="none" w:sz="0" w:space="0" w:color="auto"/>
        <w:left w:val="none" w:sz="0" w:space="0" w:color="auto"/>
        <w:bottom w:val="none" w:sz="0" w:space="0" w:color="auto"/>
        <w:right w:val="none" w:sz="0" w:space="0" w:color="auto"/>
      </w:divBdr>
      <w:divsChild>
        <w:div w:id="1265842209">
          <w:marLeft w:val="0"/>
          <w:marRight w:val="0"/>
          <w:marTop w:val="0"/>
          <w:marBottom w:val="0"/>
          <w:divBdr>
            <w:top w:val="none" w:sz="0" w:space="0" w:color="auto"/>
            <w:left w:val="none" w:sz="0" w:space="0" w:color="auto"/>
            <w:bottom w:val="none" w:sz="0" w:space="0" w:color="auto"/>
            <w:right w:val="none" w:sz="0" w:space="0" w:color="auto"/>
          </w:divBdr>
          <w:divsChild>
            <w:div w:id="623118342">
              <w:marLeft w:val="0"/>
              <w:marRight w:val="0"/>
              <w:marTop w:val="0"/>
              <w:marBottom w:val="0"/>
              <w:divBdr>
                <w:top w:val="none" w:sz="0" w:space="0" w:color="auto"/>
                <w:left w:val="none" w:sz="0" w:space="0" w:color="auto"/>
                <w:bottom w:val="none" w:sz="0" w:space="0" w:color="auto"/>
                <w:right w:val="none" w:sz="0" w:space="0" w:color="auto"/>
              </w:divBdr>
              <w:divsChild>
                <w:div w:id="58945958">
                  <w:marLeft w:val="-225"/>
                  <w:marRight w:val="-225"/>
                  <w:marTop w:val="0"/>
                  <w:marBottom w:val="0"/>
                  <w:divBdr>
                    <w:top w:val="none" w:sz="0" w:space="0" w:color="auto"/>
                    <w:left w:val="none" w:sz="0" w:space="0" w:color="auto"/>
                    <w:bottom w:val="none" w:sz="0" w:space="0" w:color="auto"/>
                    <w:right w:val="none" w:sz="0" w:space="0" w:color="auto"/>
                  </w:divBdr>
                  <w:divsChild>
                    <w:div w:id="1768185846">
                      <w:marLeft w:val="0"/>
                      <w:marRight w:val="0"/>
                      <w:marTop w:val="0"/>
                      <w:marBottom w:val="0"/>
                      <w:divBdr>
                        <w:top w:val="none" w:sz="0" w:space="0" w:color="auto"/>
                        <w:left w:val="none" w:sz="0" w:space="0" w:color="auto"/>
                        <w:bottom w:val="none" w:sz="0" w:space="0" w:color="auto"/>
                        <w:right w:val="none" w:sz="0" w:space="0" w:color="auto"/>
                      </w:divBdr>
                      <w:divsChild>
                        <w:div w:id="2077123944">
                          <w:marLeft w:val="0"/>
                          <w:marRight w:val="0"/>
                          <w:marTop w:val="0"/>
                          <w:marBottom w:val="300"/>
                          <w:divBdr>
                            <w:top w:val="none" w:sz="0" w:space="0" w:color="auto"/>
                            <w:left w:val="none" w:sz="0" w:space="0" w:color="auto"/>
                            <w:bottom w:val="none" w:sz="0" w:space="0" w:color="auto"/>
                            <w:right w:val="none" w:sz="0" w:space="0" w:color="auto"/>
                          </w:divBdr>
                          <w:divsChild>
                            <w:div w:id="994722160">
                              <w:marLeft w:val="0"/>
                              <w:marRight w:val="0"/>
                              <w:marTop w:val="0"/>
                              <w:marBottom w:val="0"/>
                              <w:divBdr>
                                <w:top w:val="none" w:sz="0" w:space="0" w:color="auto"/>
                                <w:left w:val="none" w:sz="0" w:space="0" w:color="auto"/>
                                <w:bottom w:val="none" w:sz="0" w:space="0" w:color="auto"/>
                                <w:right w:val="none" w:sz="0" w:space="0" w:color="auto"/>
                              </w:divBdr>
                              <w:divsChild>
                                <w:div w:id="135416488">
                                  <w:marLeft w:val="150"/>
                                  <w:marRight w:val="0"/>
                                  <w:marTop w:val="0"/>
                                  <w:marBottom w:val="0"/>
                                  <w:divBdr>
                                    <w:top w:val="none" w:sz="0" w:space="0" w:color="auto"/>
                                    <w:left w:val="none" w:sz="0" w:space="0" w:color="auto"/>
                                    <w:bottom w:val="none" w:sz="0" w:space="0" w:color="auto"/>
                                    <w:right w:val="none" w:sz="0" w:space="0" w:color="auto"/>
                                  </w:divBdr>
                                  <w:divsChild>
                                    <w:div w:id="11666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631302">
      <w:bodyDiv w:val="1"/>
      <w:marLeft w:val="0"/>
      <w:marRight w:val="0"/>
      <w:marTop w:val="0"/>
      <w:marBottom w:val="0"/>
      <w:divBdr>
        <w:top w:val="none" w:sz="0" w:space="0" w:color="auto"/>
        <w:left w:val="none" w:sz="0" w:space="0" w:color="auto"/>
        <w:bottom w:val="none" w:sz="0" w:space="0" w:color="auto"/>
        <w:right w:val="none" w:sz="0" w:space="0" w:color="auto"/>
      </w:divBdr>
      <w:divsChild>
        <w:div w:id="1255163010">
          <w:marLeft w:val="0"/>
          <w:marRight w:val="0"/>
          <w:marTop w:val="0"/>
          <w:marBottom w:val="0"/>
          <w:divBdr>
            <w:top w:val="none" w:sz="0" w:space="0" w:color="auto"/>
            <w:left w:val="none" w:sz="0" w:space="0" w:color="auto"/>
            <w:bottom w:val="none" w:sz="0" w:space="0" w:color="auto"/>
            <w:right w:val="none" w:sz="0" w:space="0" w:color="auto"/>
          </w:divBdr>
        </w:div>
      </w:divsChild>
    </w:div>
    <w:div w:id="1546867570">
      <w:bodyDiv w:val="1"/>
      <w:marLeft w:val="30"/>
      <w:marRight w:val="30"/>
      <w:marTop w:val="30"/>
      <w:marBottom w:val="30"/>
      <w:divBdr>
        <w:top w:val="none" w:sz="0" w:space="0" w:color="auto"/>
        <w:left w:val="none" w:sz="0" w:space="0" w:color="auto"/>
        <w:bottom w:val="none" w:sz="0" w:space="0" w:color="auto"/>
        <w:right w:val="none" w:sz="0" w:space="0" w:color="auto"/>
      </w:divBdr>
      <w:divsChild>
        <w:div w:id="1927109948">
          <w:marLeft w:val="0"/>
          <w:marRight w:val="0"/>
          <w:marTop w:val="0"/>
          <w:marBottom w:val="0"/>
          <w:divBdr>
            <w:top w:val="none" w:sz="0" w:space="0" w:color="auto"/>
            <w:left w:val="none" w:sz="0" w:space="0" w:color="auto"/>
            <w:bottom w:val="none" w:sz="0" w:space="0" w:color="auto"/>
            <w:right w:val="none" w:sz="0" w:space="0" w:color="auto"/>
          </w:divBdr>
          <w:divsChild>
            <w:div w:id="1203135358">
              <w:marLeft w:val="45"/>
              <w:marRight w:val="45"/>
              <w:marTop w:val="45"/>
              <w:marBottom w:val="45"/>
              <w:divBdr>
                <w:top w:val="none" w:sz="0" w:space="0" w:color="auto"/>
                <w:left w:val="none" w:sz="0" w:space="0" w:color="auto"/>
                <w:bottom w:val="none" w:sz="0" w:space="0" w:color="auto"/>
                <w:right w:val="none" w:sz="0" w:space="0" w:color="auto"/>
              </w:divBdr>
              <w:divsChild>
                <w:div w:id="739258109">
                  <w:marLeft w:val="0"/>
                  <w:marRight w:val="0"/>
                  <w:marTop w:val="0"/>
                  <w:marBottom w:val="0"/>
                  <w:divBdr>
                    <w:top w:val="none" w:sz="0" w:space="0" w:color="auto"/>
                    <w:left w:val="none" w:sz="0" w:space="0" w:color="auto"/>
                    <w:bottom w:val="none" w:sz="0" w:space="0" w:color="auto"/>
                    <w:right w:val="none" w:sz="0" w:space="0" w:color="auto"/>
                  </w:divBdr>
                  <w:divsChild>
                    <w:div w:id="154186783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66427">
      <w:bodyDiv w:val="1"/>
      <w:marLeft w:val="0"/>
      <w:marRight w:val="0"/>
      <w:marTop w:val="0"/>
      <w:marBottom w:val="0"/>
      <w:divBdr>
        <w:top w:val="none" w:sz="0" w:space="0" w:color="auto"/>
        <w:left w:val="none" w:sz="0" w:space="0" w:color="auto"/>
        <w:bottom w:val="none" w:sz="0" w:space="0" w:color="auto"/>
        <w:right w:val="none" w:sz="0" w:space="0" w:color="auto"/>
      </w:divBdr>
    </w:div>
    <w:div w:id="1635405237">
      <w:bodyDiv w:val="1"/>
      <w:marLeft w:val="0"/>
      <w:marRight w:val="0"/>
      <w:marTop w:val="0"/>
      <w:marBottom w:val="0"/>
      <w:divBdr>
        <w:top w:val="none" w:sz="0" w:space="0" w:color="auto"/>
        <w:left w:val="none" w:sz="0" w:space="0" w:color="auto"/>
        <w:bottom w:val="none" w:sz="0" w:space="0" w:color="auto"/>
        <w:right w:val="none" w:sz="0" w:space="0" w:color="auto"/>
      </w:divBdr>
    </w:div>
    <w:div w:id="1659769191">
      <w:bodyDiv w:val="1"/>
      <w:marLeft w:val="0"/>
      <w:marRight w:val="0"/>
      <w:marTop w:val="0"/>
      <w:marBottom w:val="0"/>
      <w:divBdr>
        <w:top w:val="none" w:sz="0" w:space="0" w:color="auto"/>
        <w:left w:val="none" w:sz="0" w:space="0" w:color="auto"/>
        <w:bottom w:val="none" w:sz="0" w:space="0" w:color="auto"/>
        <w:right w:val="none" w:sz="0" w:space="0" w:color="auto"/>
      </w:divBdr>
    </w:div>
    <w:div w:id="1668819982">
      <w:bodyDiv w:val="1"/>
      <w:marLeft w:val="0"/>
      <w:marRight w:val="0"/>
      <w:marTop w:val="0"/>
      <w:marBottom w:val="0"/>
      <w:divBdr>
        <w:top w:val="none" w:sz="0" w:space="0" w:color="auto"/>
        <w:left w:val="none" w:sz="0" w:space="0" w:color="auto"/>
        <w:bottom w:val="none" w:sz="0" w:space="0" w:color="auto"/>
        <w:right w:val="none" w:sz="0" w:space="0" w:color="auto"/>
      </w:divBdr>
      <w:divsChild>
        <w:div w:id="1494562032">
          <w:marLeft w:val="0"/>
          <w:marRight w:val="0"/>
          <w:marTop w:val="0"/>
          <w:marBottom w:val="0"/>
          <w:divBdr>
            <w:top w:val="none" w:sz="0" w:space="0" w:color="auto"/>
            <w:left w:val="none" w:sz="0" w:space="0" w:color="auto"/>
            <w:bottom w:val="none" w:sz="0" w:space="0" w:color="auto"/>
            <w:right w:val="none" w:sz="0" w:space="0" w:color="auto"/>
          </w:divBdr>
          <w:divsChild>
            <w:div w:id="1219823619">
              <w:marLeft w:val="0"/>
              <w:marRight w:val="0"/>
              <w:marTop w:val="0"/>
              <w:marBottom w:val="0"/>
              <w:divBdr>
                <w:top w:val="none" w:sz="0" w:space="0" w:color="auto"/>
                <w:left w:val="none" w:sz="0" w:space="0" w:color="auto"/>
                <w:bottom w:val="none" w:sz="0" w:space="0" w:color="auto"/>
                <w:right w:val="none" w:sz="0" w:space="0" w:color="auto"/>
              </w:divBdr>
              <w:divsChild>
                <w:div w:id="320162833">
                  <w:marLeft w:val="-225"/>
                  <w:marRight w:val="-225"/>
                  <w:marTop w:val="0"/>
                  <w:marBottom w:val="0"/>
                  <w:divBdr>
                    <w:top w:val="none" w:sz="0" w:space="0" w:color="auto"/>
                    <w:left w:val="none" w:sz="0" w:space="0" w:color="auto"/>
                    <w:bottom w:val="none" w:sz="0" w:space="0" w:color="auto"/>
                    <w:right w:val="none" w:sz="0" w:space="0" w:color="auto"/>
                  </w:divBdr>
                  <w:divsChild>
                    <w:div w:id="279144522">
                      <w:marLeft w:val="0"/>
                      <w:marRight w:val="0"/>
                      <w:marTop w:val="0"/>
                      <w:marBottom w:val="0"/>
                      <w:divBdr>
                        <w:top w:val="none" w:sz="0" w:space="0" w:color="auto"/>
                        <w:left w:val="none" w:sz="0" w:space="0" w:color="auto"/>
                        <w:bottom w:val="none" w:sz="0" w:space="0" w:color="auto"/>
                        <w:right w:val="none" w:sz="0" w:space="0" w:color="auto"/>
                      </w:divBdr>
                      <w:divsChild>
                        <w:div w:id="446241958">
                          <w:marLeft w:val="0"/>
                          <w:marRight w:val="0"/>
                          <w:marTop w:val="0"/>
                          <w:marBottom w:val="300"/>
                          <w:divBdr>
                            <w:top w:val="none" w:sz="0" w:space="0" w:color="auto"/>
                            <w:left w:val="none" w:sz="0" w:space="0" w:color="auto"/>
                            <w:bottom w:val="none" w:sz="0" w:space="0" w:color="auto"/>
                            <w:right w:val="none" w:sz="0" w:space="0" w:color="auto"/>
                          </w:divBdr>
                          <w:divsChild>
                            <w:div w:id="1239747986">
                              <w:marLeft w:val="0"/>
                              <w:marRight w:val="0"/>
                              <w:marTop w:val="0"/>
                              <w:marBottom w:val="0"/>
                              <w:divBdr>
                                <w:top w:val="none" w:sz="0" w:space="0" w:color="auto"/>
                                <w:left w:val="none" w:sz="0" w:space="0" w:color="auto"/>
                                <w:bottom w:val="none" w:sz="0" w:space="0" w:color="auto"/>
                                <w:right w:val="none" w:sz="0" w:space="0" w:color="auto"/>
                              </w:divBdr>
                              <w:divsChild>
                                <w:div w:id="1562714336">
                                  <w:marLeft w:val="150"/>
                                  <w:marRight w:val="0"/>
                                  <w:marTop w:val="0"/>
                                  <w:marBottom w:val="0"/>
                                  <w:divBdr>
                                    <w:top w:val="none" w:sz="0" w:space="0" w:color="auto"/>
                                    <w:left w:val="none" w:sz="0" w:space="0" w:color="auto"/>
                                    <w:bottom w:val="none" w:sz="0" w:space="0" w:color="auto"/>
                                    <w:right w:val="none" w:sz="0" w:space="0" w:color="auto"/>
                                  </w:divBdr>
                                  <w:divsChild>
                                    <w:div w:id="16437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224993">
      <w:bodyDiv w:val="1"/>
      <w:marLeft w:val="0"/>
      <w:marRight w:val="0"/>
      <w:marTop w:val="0"/>
      <w:marBottom w:val="0"/>
      <w:divBdr>
        <w:top w:val="none" w:sz="0" w:space="0" w:color="auto"/>
        <w:left w:val="none" w:sz="0" w:space="0" w:color="auto"/>
        <w:bottom w:val="none" w:sz="0" w:space="0" w:color="auto"/>
        <w:right w:val="none" w:sz="0" w:space="0" w:color="auto"/>
      </w:divBdr>
      <w:divsChild>
        <w:div w:id="668093985">
          <w:marLeft w:val="0"/>
          <w:marRight w:val="0"/>
          <w:marTop w:val="0"/>
          <w:marBottom w:val="0"/>
          <w:divBdr>
            <w:top w:val="none" w:sz="0" w:space="0" w:color="auto"/>
            <w:left w:val="none" w:sz="0" w:space="0" w:color="auto"/>
            <w:bottom w:val="none" w:sz="0" w:space="0" w:color="auto"/>
            <w:right w:val="none" w:sz="0" w:space="0" w:color="auto"/>
          </w:divBdr>
        </w:div>
      </w:divsChild>
    </w:div>
    <w:div w:id="1704744655">
      <w:bodyDiv w:val="1"/>
      <w:marLeft w:val="0"/>
      <w:marRight w:val="0"/>
      <w:marTop w:val="0"/>
      <w:marBottom w:val="0"/>
      <w:divBdr>
        <w:top w:val="none" w:sz="0" w:space="0" w:color="auto"/>
        <w:left w:val="none" w:sz="0" w:space="0" w:color="auto"/>
        <w:bottom w:val="none" w:sz="0" w:space="0" w:color="auto"/>
        <w:right w:val="none" w:sz="0" w:space="0" w:color="auto"/>
      </w:divBdr>
    </w:div>
    <w:div w:id="1704984692">
      <w:bodyDiv w:val="1"/>
      <w:marLeft w:val="0"/>
      <w:marRight w:val="0"/>
      <w:marTop w:val="0"/>
      <w:marBottom w:val="0"/>
      <w:divBdr>
        <w:top w:val="none" w:sz="0" w:space="0" w:color="auto"/>
        <w:left w:val="none" w:sz="0" w:space="0" w:color="auto"/>
        <w:bottom w:val="none" w:sz="0" w:space="0" w:color="auto"/>
        <w:right w:val="none" w:sz="0" w:space="0" w:color="auto"/>
      </w:divBdr>
      <w:divsChild>
        <w:div w:id="1052079989">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726875869">
      <w:bodyDiv w:val="1"/>
      <w:marLeft w:val="0"/>
      <w:marRight w:val="0"/>
      <w:marTop w:val="0"/>
      <w:marBottom w:val="0"/>
      <w:divBdr>
        <w:top w:val="none" w:sz="0" w:space="0" w:color="auto"/>
        <w:left w:val="none" w:sz="0" w:space="0" w:color="auto"/>
        <w:bottom w:val="none" w:sz="0" w:space="0" w:color="auto"/>
        <w:right w:val="none" w:sz="0" w:space="0" w:color="auto"/>
      </w:divBdr>
    </w:div>
    <w:div w:id="1896163488">
      <w:bodyDiv w:val="1"/>
      <w:marLeft w:val="0"/>
      <w:marRight w:val="0"/>
      <w:marTop w:val="0"/>
      <w:marBottom w:val="0"/>
      <w:divBdr>
        <w:top w:val="none" w:sz="0" w:space="0" w:color="auto"/>
        <w:left w:val="none" w:sz="0" w:space="0" w:color="auto"/>
        <w:bottom w:val="none" w:sz="0" w:space="0" w:color="auto"/>
        <w:right w:val="none" w:sz="0" w:space="0" w:color="auto"/>
      </w:divBdr>
    </w:div>
    <w:div w:id="1973360642">
      <w:bodyDiv w:val="1"/>
      <w:marLeft w:val="0"/>
      <w:marRight w:val="0"/>
      <w:marTop w:val="0"/>
      <w:marBottom w:val="0"/>
      <w:divBdr>
        <w:top w:val="none" w:sz="0" w:space="0" w:color="auto"/>
        <w:left w:val="none" w:sz="0" w:space="0" w:color="auto"/>
        <w:bottom w:val="none" w:sz="0" w:space="0" w:color="auto"/>
        <w:right w:val="none" w:sz="0" w:space="0" w:color="auto"/>
      </w:divBdr>
      <w:divsChild>
        <w:div w:id="1518351457">
          <w:marLeft w:val="0"/>
          <w:marRight w:val="0"/>
          <w:marTop w:val="0"/>
          <w:marBottom w:val="0"/>
          <w:divBdr>
            <w:top w:val="none" w:sz="0" w:space="0" w:color="auto"/>
            <w:left w:val="none" w:sz="0" w:space="0" w:color="auto"/>
            <w:bottom w:val="none" w:sz="0" w:space="0" w:color="auto"/>
            <w:right w:val="none" w:sz="0" w:space="0" w:color="auto"/>
          </w:divBdr>
          <w:divsChild>
            <w:div w:id="1925995489">
              <w:marLeft w:val="0"/>
              <w:marRight w:val="0"/>
              <w:marTop w:val="0"/>
              <w:marBottom w:val="0"/>
              <w:divBdr>
                <w:top w:val="none" w:sz="0" w:space="0" w:color="auto"/>
                <w:left w:val="none" w:sz="0" w:space="0" w:color="auto"/>
                <w:bottom w:val="none" w:sz="0" w:space="0" w:color="auto"/>
                <w:right w:val="none" w:sz="0" w:space="0" w:color="auto"/>
              </w:divBdr>
              <w:divsChild>
                <w:div w:id="1525559879">
                  <w:marLeft w:val="0"/>
                  <w:marRight w:val="0"/>
                  <w:marTop w:val="0"/>
                  <w:marBottom w:val="0"/>
                  <w:divBdr>
                    <w:top w:val="none" w:sz="0" w:space="0" w:color="auto"/>
                    <w:left w:val="none" w:sz="0" w:space="0" w:color="auto"/>
                    <w:bottom w:val="none" w:sz="0" w:space="0" w:color="auto"/>
                    <w:right w:val="none" w:sz="0" w:space="0" w:color="auto"/>
                  </w:divBdr>
                  <w:divsChild>
                    <w:div w:id="2052225765">
                      <w:marLeft w:val="0"/>
                      <w:marRight w:val="0"/>
                      <w:marTop w:val="0"/>
                      <w:marBottom w:val="0"/>
                      <w:divBdr>
                        <w:top w:val="none" w:sz="0" w:space="0" w:color="auto"/>
                        <w:left w:val="none" w:sz="0" w:space="0" w:color="auto"/>
                        <w:bottom w:val="none" w:sz="0" w:space="0" w:color="auto"/>
                        <w:right w:val="none" w:sz="0" w:space="0" w:color="auto"/>
                      </w:divBdr>
                      <w:divsChild>
                        <w:div w:id="1388262620">
                          <w:marLeft w:val="0"/>
                          <w:marRight w:val="0"/>
                          <w:marTop w:val="0"/>
                          <w:marBottom w:val="0"/>
                          <w:divBdr>
                            <w:top w:val="none" w:sz="0" w:space="0" w:color="auto"/>
                            <w:left w:val="none" w:sz="0" w:space="0" w:color="auto"/>
                            <w:bottom w:val="none" w:sz="0" w:space="0" w:color="auto"/>
                            <w:right w:val="none" w:sz="0" w:space="0" w:color="auto"/>
                          </w:divBdr>
                          <w:divsChild>
                            <w:div w:id="1421829196">
                              <w:marLeft w:val="0"/>
                              <w:marRight w:val="0"/>
                              <w:marTop w:val="0"/>
                              <w:marBottom w:val="0"/>
                              <w:divBdr>
                                <w:top w:val="none" w:sz="0" w:space="0" w:color="auto"/>
                                <w:left w:val="none" w:sz="0" w:space="0" w:color="auto"/>
                                <w:bottom w:val="none" w:sz="0" w:space="0" w:color="auto"/>
                                <w:right w:val="none" w:sz="0" w:space="0" w:color="auto"/>
                              </w:divBdr>
                              <w:divsChild>
                                <w:div w:id="1816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66648">
      <w:bodyDiv w:val="1"/>
      <w:marLeft w:val="0"/>
      <w:marRight w:val="0"/>
      <w:marTop w:val="0"/>
      <w:marBottom w:val="0"/>
      <w:divBdr>
        <w:top w:val="none" w:sz="0" w:space="0" w:color="auto"/>
        <w:left w:val="none" w:sz="0" w:space="0" w:color="auto"/>
        <w:bottom w:val="none" w:sz="0" w:space="0" w:color="auto"/>
        <w:right w:val="none" w:sz="0" w:space="0" w:color="auto"/>
      </w:divBdr>
      <w:divsChild>
        <w:div w:id="1203982605">
          <w:marLeft w:val="0"/>
          <w:marRight w:val="0"/>
          <w:marTop w:val="0"/>
          <w:marBottom w:val="0"/>
          <w:divBdr>
            <w:top w:val="none" w:sz="0" w:space="0" w:color="auto"/>
            <w:left w:val="none" w:sz="0" w:space="0" w:color="auto"/>
            <w:bottom w:val="none" w:sz="0" w:space="0" w:color="auto"/>
            <w:right w:val="none" w:sz="0" w:space="0" w:color="auto"/>
          </w:divBdr>
          <w:divsChild>
            <w:div w:id="1190336245">
              <w:marLeft w:val="0"/>
              <w:marRight w:val="0"/>
              <w:marTop w:val="0"/>
              <w:marBottom w:val="0"/>
              <w:divBdr>
                <w:top w:val="none" w:sz="0" w:space="0" w:color="auto"/>
                <w:left w:val="none" w:sz="0" w:space="0" w:color="auto"/>
                <w:bottom w:val="none" w:sz="0" w:space="0" w:color="auto"/>
                <w:right w:val="none" w:sz="0" w:space="0" w:color="auto"/>
              </w:divBdr>
              <w:divsChild>
                <w:div w:id="465898549">
                  <w:marLeft w:val="-225"/>
                  <w:marRight w:val="-225"/>
                  <w:marTop w:val="0"/>
                  <w:marBottom w:val="0"/>
                  <w:divBdr>
                    <w:top w:val="none" w:sz="0" w:space="0" w:color="auto"/>
                    <w:left w:val="none" w:sz="0" w:space="0" w:color="auto"/>
                    <w:bottom w:val="none" w:sz="0" w:space="0" w:color="auto"/>
                    <w:right w:val="none" w:sz="0" w:space="0" w:color="auto"/>
                  </w:divBdr>
                  <w:divsChild>
                    <w:div w:id="1490096390">
                      <w:marLeft w:val="0"/>
                      <w:marRight w:val="0"/>
                      <w:marTop w:val="0"/>
                      <w:marBottom w:val="0"/>
                      <w:divBdr>
                        <w:top w:val="none" w:sz="0" w:space="0" w:color="auto"/>
                        <w:left w:val="none" w:sz="0" w:space="0" w:color="auto"/>
                        <w:bottom w:val="none" w:sz="0" w:space="0" w:color="auto"/>
                        <w:right w:val="none" w:sz="0" w:space="0" w:color="auto"/>
                      </w:divBdr>
                      <w:divsChild>
                        <w:div w:id="1693651371">
                          <w:marLeft w:val="0"/>
                          <w:marRight w:val="0"/>
                          <w:marTop w:val="0"/>
                          <w:marBottom w:val="300"/>
                          <w:divBdr>
                            <w:top w:val="none" w:sz="0" w:space="0" w:color="auto"/>
                            <w:left w:val="none" w:sz="0" w:space="0" w:color="auto"/>
                            <w:bottom w:val="none" w:sz="0" w:space="0" w:color="auto"/>
                            <w:right w:val="none" w:sz="0" w:space="0" w:color="auto"/>
                          </w:divBdr>
                          <w:divsChild>
                            <w:div w:id="491138677">
                              <w:marLeft w:val="0"/>
                              <w:marRight w:val="0"/>
                              <w:marTop w:val="0"/>
                              <w:marBottom w:val="0"/>
                              <w:divBdr>
                                <w:top w:val="none" w:sz="0" w:space="0" w:color="auto"/>
                                <w:left w:val="none" w:sz="0" w:space="0" w:color="auto"/>
                                <w:bottom w:val="none" w:sz="0" w:space="0" w:color="auto"/>
                                <w:right w:val="none" w:sz="0" w:space="0" w:color="auto"/>
                              </w:divBdr>
                              <w:divsChild>
                                <w:div w:id="1764453979">
                                  <w:marLeft w:val="150"/>
                                  <w:marRight w:val="0"/>
                                  <w:marTop w:val="0"/>
                                  <w:marBottom w:val="0"/>
                                  <w:divBdr>
                                    <w:top w:val="none" w:sz="0" w:space="0" w:color="auto"/>
                                    <w:left w:val="none" w:sz="0" w:space="0" w:color="auto"/>
                                    <w:bottom w:val="none" w:sz="0" w:space="0" w:color="auto"/>
                                    <w:right w:val="none" w:sz="0" w:space="0" w:color="auto"/>
                                  </w:divBdr>
                                  <w:divsChild>
                                    <w:div w:id="7776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860976">
      <w:bodyDiv w:val="1"/>
      <w:marLeft w:val="0"/>
      <w:marRight w:val="0"/>
      <w:marTop w:val="0"/>
      <w:marBottom w:val="0"/>
      <w:divBdr>
        <w:top w:val="none" w:sz="0" w:space="0" w:color="auto"/>
        <w:left w:val="none" w:sz="0" w:space="0" w:color="auto"/>
        <w:bottom w:val="none" w:sz="0" w:space="0" w:color="auto"/>
        <w:right w:val="none" w:sz="0" w:space="0" w:color="auto"/>
      </w:divBdr>
      <w:divsChild>
        <w:div w:id="245309852">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035959723">
      <w:bodyDiv w:val="1"/>
      <w:marLeft w:val="0"/>
      <w:marRight w:val="0"/>
      <w:marTop w:val="0"/>
      <w:marBottom w:val="0"/>
      <w:divBdr>
        <w:top w:val="none" w:sz="0" w:space="0" w:color="auto"/>
        <w:left w:val="none" w:sz="0" w:space="0" w:color="auto"/>
        <w:bottom w:val="none" w:sz="0" w:space="0" w:color="auto"/>
        <w:right w:val="none" w:sz="0" w:space="0" w:color="auto"/>
      </w:divBdr>
    </w:div>
    <w:div w:id="2047101048">
      <w:bodyDiv w:val="1"/>
      <w:marLeft w:val="0"/>
      <w:marRight w:val="0"/>
      <w:marTop w:val="0"/>
      <w:marBottom w:val="0"/>
      <w:divBdr>
        <w:top w:val="none" w:sz="0" w:space="0" w:color="auto"/>
        <w:left w:val="none" w:sz="0" w:space="0" w:color="auto"/>
        <w:bottom w:val="none" w:sz="0" w:space="0" w:color="auto"/>
        <w:right w:val="none" w:sz="0" w:space="0" w:color="auto"/>
      </w:divBdr>
    </w:div>
    <w:div w:id="2053386178">
      <w:bodyDiv w:val="1"/>
      <w:marLeft w:val="0"/>
      <w:marRight w:val="0"/>
      <w:marTop w:val="0"/>
      <w:marBottom w:val="0"/>
      <w:divBdr>
        <w:top w:val="none" w:sz="0" w:space="0" w:color="auto"/>
        <w:left w:val="none" w:sz="0" w:space="0" w:color="auto"/>
        <w:bottom w:val="none" w:sz="0" w:space="0" w:color="auto"/>
        <w:right w:val="none" w:sz="0" w:space="0" w:color="auto"/>
      </w:divBdr>
    </w:div>
    <w:div w:id="2064674594">
      <w:bodyDiv w:val="1"/>
      <w:marLeft w:val="0"/>
      <w:marRight w:val="0"/>
      <w:marTop w:val="0"/>
      <w:marBottom w:val="0"/>
      <w:divBdr>
        <w:top w:val="none" w:sz="0" w:space="0" w:color="auto"/>
        <w:left w:val="none" w:sz="0" w:space="0" w:color="auto"/>
        <w:bottom w:val="none" w:sz="0" w:space="0" w:color="auto"/>
        <w:right w:val="none" w:sz="0" w:space="0" w:color="auto"/>
      </w:divBdr>
    </w:div>
    <w:div w:id="2112622031">
      <w:bodyDiv w:val="1"/>
      <w:marLeft w:val="0"/>
      <w:marRight w:val="0"/>
      <w:marTop w:val="0"/>
      <w:marBottom w:val="0"/>
      <w:divBdr>
        <w:top w:val="none" w:sz="0" w:space="0" w:color="auto"/>
        <w:left w:val="none" w:sz="0" w:space="0" w:color="auto"/>
        <w:bottom w:val="none" w:sz="0" w:space="0" w:color="auto"/>
        <w:right w:val="none" w:sz="0" w:space="0" w:color="auto"/>
      </w:divBdr>
      <w:divsChild>
        <w:div w:id="1176923550">
          <w:marLeft w:val="0"/>
          <w:marRight w:val="0"/>
          <w:marTop w:val="0"/>
          <w:marBottom w:val="0"/>
          <w:divBdr>
            <w:top w:val="none" w:sz="0" w:space="0" w:color="auto"/>
            <w:left w:val="none" w:sz="0" w:space="0" w:color="auto"/>
            <w:bottom w:val="none" w:sz="0" w:space="0" w:color="auto"/>
            <w:right w:val="none" w:sz="0" w:space="0" w:color="auto"/>
          </w:divBdr>
          <w:divsChild>
            <w:div w:id="1087582463">
              <w:marLeft w:val="0"/>
              <w:marRight w:val="0"/>
              <w:marTop w:val="0"/>
              <w:marBottom w:val="0"/>
              <w:divBdr>
                <w:top w:val="single" w:sz="6" w:space="0" w:color="333333"/>
                <w:left w:val="single" w:sz="6" w:space="0" w:color="333333"/>
                <w:bottom w:val="single" w:sz="6" w:space="0" w:color="333333"/>
                <w:right w:val="single" w:sz="6" w:space="0" w:color="333333"/>
              </w:divBdr>
              <w:divsChild>
                <w:div w:id="761990103">
                  <w:marLeft w:val="0"/>
                  <w:marRight w:val="0"/>
                  <w:marTop w:val="0"/>
                  <w:marBottom w:val="0"/>
                  <w:divBdr>
                    <w:top w:val="none" w:sz="0" w:space="0" w:color="auto"/>
                    <w:left w:val="none" w:sz="0" w:space="0" w:color="auto"/>
                    <w:bottom w:val="none" w:sz="0" w:space="0" w:color="auto"/>
                    <w:right w:val="none" w:sz="0" w:space="0" w:color="auto"/>
                  </w:divBdr>
                  <w:divsChild>
                    <w:div w:id="961957851">
                      <w:marLeft w:val="0"/>
                      <w:marRight w:val="0"/>
                      <w:marTop w:val="0"/>
                      <w:marBottom w:val="0"/>
                      <w:divBdr>
                        <w:top w:val="none" w:sz="0" w:space="0" w:color="auto"/>
                        <w:left w:val="none" w:sz="0" w:space="0" w:color="auto"/>
                        <w:bottom w:val="none" w:sz="0" w:space="0" w:color="auto"/>
                        <w:right w:val="none" w:sz="0" w:space="0" w:color="auto"/>
                      </w:divBdr>
                      <w:divsChild>
                        <w:div w:id="725639083">
                          <w:marLeft w:val="0"/>
                          <w:marRight w:val="0"/>
                          <w:marTop w:val="0"/>
                          <w:marBottom w:val="0"/>
                          <w:divBdr>
                            <w:top w:val="none" w:sz="0" w:space="0" w:color="auto"/>
                            <w:left w:val="none" w:sz="0" w:space="0" w:color="auto"/>
                            <w:bottom w:val="none" w:sz="0" w:space="0" w:color="auto"/>
                            <w:right w:val="none" w:sz="0" w:space="0" w:color="auto"/>
                          </w:divBdr>
                          <w:divsChild>
                            <w:div w:id="1921526571">
                              <w:marLeft w:val="0"/>
                              <w:marRight w:val="0"/>
                              <w:marTop w:val="0"/>
                              <w:marBottom w:val="0"/>
                              <w:divBdr>
                                <w:top w:val="none" w:sz="0" w:space="0" w:color="auto"/>
                                <w:left w:val="none" w:sz="0" w:space="0" w:color="auto"/>
                                <w:bottom w:val="none" w:sz="0" w:space="0" w:color="auto"/>
                                <w:right w:val="none" w:sz="0" w:space="0" w:color="auto"/>
                              </w:divBdr>
                              <w:divsChild>
                                <w:div w:id="1194465238">
                                  <w:marLeft w:val="2700"/>
                                  <w:marRight w:val="-11700"/>
                                  <w:marTop w:val="0"/>
                                  <w:marBottom w:val="0"/>
                                  <w:divBdr>
                                    <w:top w:val="none" w:sz="0" w:space="0" w:color="auto"/>
                                    <w:left w:val="none" w:sz="0" w:space="0" w:color="auto"/>
                                    <w:bottom w:val="none" w:sz="0" w:space="0" w:color="auto"/>
                                    <w:right w:val="none" w:sz="0" w:space="0" w:color="auto"/>
                                  </w:divBdr>
                                  <w:divsChild>
                                    <w:div w:id="160245241">
                                      <w:marLeft w:val="0"/>
                                      <w:marRight w:val="0"/>
                                      <w:marTop w:val="0"/>
                                      <w:marBottom w:val="0"/>
                                      <w:divBdr>
                                        <w:top w:val="none" w:sz="0" w:space="0" w:color="auto"/>
                                        <w:left w:val="none" w:sz="0" w:space="0" w:color="auto"/>
                                        <w:bottom w:val="none" w:sz="0" w:space="0" w:color="auto"/>
                                        <w:right w:val="none" w:sz="0" w:space="0" w:color="auto"/>
                                      </w:divBdr>
                                      <w:divsChild>
                                        <w:div w:id="311107653">
                                          <w:marLeft w:val="4"/>
                                          <w:marRight w:val="0"/>
                                          <w:marTop w:val="0"/>
                                          <w:marBottom w:val="0"/>
                                          <w:divBdr>
                                            <w:top w:val="none" w:sz="0" w:space="0" w:color="auto"/>
                                            <w:left w:val="none" w:sz="0" w:space="0" w:color="auto"/>
                                            <w:bottom w:val="none" w:sz="0" w:space="0" w:color="auto"/>
                                            <w:right w:val="none" w:sz="0" w:space="0" w:color="auto"/>
                                          </w:divBdr>
                                          <w:divsChild>
                                            <w:div w:id="400952652">
                                              <w:marLeft w:val="4"/>
                                              <w:marRight w:val="0"/>
                                              <w:marTop w:val="0"/>
                                              <w:marBottom w:val="0"/>
                                              <w:divBdr>
                                                <w:top w:val="none" w:sz="0" w:space="0" w:color="auto"/>
                                                <w:left w:val="none" w:sz="0" w:space="0" w:color="auto"/>
                                                <w:bottom w:val="none" w:sz="0" w:space="0" w:color="auto"/>
                                                <w:right w:val="none" w:sz="0" w:space="0" w:color="auto"/>
                                              </w:divBdr>
                                            </w:div>
                                            <w:div w:id="752630045">
                                              <w:marLeft w:val="0"/>
                                              <w:marRight w:val="0"/>
                                              <w:marTop w:val="0"/>
                                              <w:marBottom w:val="0"/>
                                              <w:divBdr>
                                                <w:top w:val="none" w:sz="0" w:space="0" w:color="auto"/>
                                                <w:left w:val="none" w:sz="0" w:space="0" w:color="auto"/>
                                                <w:bottom w:val="none" w:sz="0" w:space="0" w:color="auto"/>
                                                <w:right w:val="none" w:sz="0" w:space="0" w:color="auto"/>
                                              </w:divBdr>
                                            </w:div>
                                            <w:div w:id="781925397">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usa.gov/xFmHg" TargetMode="External"/><Relationship Id="rId18" Type="http://schemas.openxmlformats.org/officeDocument/2006/relationships/hyperlink" Target="https://about.usps.com/postal-bulletin/202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usa.gov/xHd78" TargetMode="External"/><Relationship Id="rId17" Type="http://schemas.openxmlformats.org/officeDocument/2006/relationships/hyperlink" Target="https://about.usps.com/postal-bulletin/2010/pb22292/pdf/pb2229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bout.usps.com/postal-bulletin/2010/pb22287/pdf/pb22287.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usa.gov/xHd78"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ostalpro.usps.com/ppro-tools/inspection-servic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pis.go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onlinelibrary.wiley.com/doi/10.1111/add.15474" TargetMode="External"/><Relationship Id="rId13" Type="http://schemas.openxmlformats.org/officeDocument/2006/relationships/hyperlink" Target="https://about.usps.com/what/financials/10k-reports/fy2020.pdf" TargetMode="External"/><Relationship Id="rId18" Type="http://schemas.openxmlformats.org/officeDocument/2006/relationships/hyperlink" Target="https://scottrobertslaw.com/whats-the-difference-between-smoking-and-vaping" TargetMode="External"/><Relationship Id="rId3" Type="http://schemas.openxmlformats.org/officeDocument/2006/relationships/hyperlink" Target="https://www.leafly.com/products/vaping" TargetMode="External"/><Relationship Id="rId21" Type="http://schemas.openxmlformats.org/officeDocument/2006/relationships/hyperlink" Target="https://ascpt.onlinelibrary.wiley.com/doi/abs/10.1038/clpt.1984.67" TargetMode="External"/><Relationship Id="rId7" Type="http://schemas.openxmlformats.org/officeDocument/2006/relationships/hyperlink" Target="https://en.wikipedia.org/wiki/Solution_(chemistry)" TargetMode="External"/><Relationship Id="rId12" Type="http://schemas.openxmlformats.org/officeDocument/2006/relationships/hyperlink" Target="https://ajph.aphapublications.org/doi/full/10.2105/AJPH.2020.305999" TargetMode="External"/><Relationship Id="rId17" Type="http://schemas.openxmlformats.org/officeDocument/2006/relationships/hyperlink" Target="https://parade.com/1093720/julia-savacool/vaping-vs-smoking/" TargetMode="External"/><Relationship Id="rId2" Type="http://schemas.openxmlformats.org/officeDocument/2006/relationships/hyperlink" Target="https://hightimes.com/products/high-times-2015-vape-pen-buyers-guide" TargetMode="External"/><Relationship Id="rId16" Type="http://schemas.openxmlformats.org/officeDocument/2006/relationships/hyperlink" Target="https://tobaccocontrol.bmj.com/content/tobaccocontrol/23/suppl_2/ii30.full.pdf" TargetMode="External"/><Relationship Id="rId20" Type="http://schemas.openxmlformats.org/officeDocument/2006/relationships/hyperlink" Target="https://tobaccocontrol.bmj.com/content/tobaccocontrol/7/4/369.full.pdf" TargetMode="External"/><Relationship Id="rId1" Type="http://schemas.openxmlformats.org/officeDocument/2006/relationships/hyperlink" Target="https://www.usps.com/smallbusiness" TargetMode="External"/><Relationship Id="rId6" Type="http://schemas.openxmlformats.org/officeDocument/2006/relationships/hyperlink" Target="https://www.britannica.com/science/solution-chemistry" TargetMode="External"/><Relationship Id="rId11" Type="http://schemas.openxmlformats.org/officeDocument/2006/relationships/hyperlink" Target="https://go.usa.gov/xHHxa" TargetMode="External"/><Relationship Id="rId5" Type="http://schemas.openxmlformats.org/officeDocument/2006/relationships/hyperlink" Target="https://goldbook.iupac.org/terms/view/S05746" TargetMode="External"/><Relationship Id="rId15" Type="http://schemas.openxmlformats.org/officeDocument/2006/relationships/hyperlink" Target="https://www.healthline.com/health/cbd-dosage" TargetMode="External"/><Relationship Id="rId23" Type="http://schemas.openxmlformats.org/officeDocument/2006/relationships/hyperlink" Target="https://go.usa.gov/x6cWG" TargetMode="External"/><Relationship Id="rId10" Type="http://schemas.openxmlformats.org/officeDocument/2006/relationships/hyperlink" Target="https://onlinelibrary.wiley.com/doi/full/10.1111/add.12623" TargetMode="External"/><Relationship Id="rId19" Type="http://schemas.openxmlformats.org/officeDocument/2006/relationships/hyperlink" Target="https://www.menshealth.com/health/a23937726/vaping-vs-smoking" TargetMode="External"/><Relationship Id="rId4" Type="http://schemas.openxmlformats.org/officeDocument/2006/relationships/hyperlink" Target="https://www.weedgadgets.com/sherlock-vape-pipe/" TargetMode="External"/><Relationship Id="rId9" Type="http://schemas.openxmlformats.org/officeDocument/2006/relationships/hyperlink" Target="https://www.nejm.org/doi/full/10.1056/NEJMoa1808779" TargetMode="External"/><Relationship Id="rId14" Type="http://schemas.openxmlformats.org/officeDocument/2006/relationships/hyperlink" Target="https://go.usa.gov/x6qSt" TargetMode="External"/><Relationship Id="rId22" Type="http://schemas.openxmlformats.org/officeDocument/2006/relationships/hyperlink" Target="https://www.ncbi.nlm.nih.gov/books/NBK507171/pdf/Bookshelf_NBK5071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2DF5C529669A4DABF4E6FE6E8CB4E4" ma:contentTypeVersion="10" ma:contentTypeDescription="Create a new document." ma:contentTypeScope="" ma:versionID="6a50d690b49f8cd7cb45e69e846626cd">
  <xsd:schema xmlns:xsd="http://www.w3.org/2001/XMLSchema" xmlns:xs="http://www.w3.org/2001/XMLSchema" xmlns:p="http://schemas.microsoft.com/office/2006/metadata/properties" xmlns:ns3="76e83b79-ffc5-4385-96dc-9b4d019efe77" xmlns:ns4="12e5b349-f30b-4b77-b0d5-5576ae7468d9" targetNamespace="http://schemas.microsoft.com/office/2006/metadata/properties" ma:root="true" ma:fieldsID="bfe1e4d8ea3200045ed6878a06ed0049" ns3:_="" ns4:_="">
    <xsd:import namespace="76e83b79-ffc5-4385-96dc-9b4d019efe77"/>
    <xsd:import namespace="12e5b349-f30b-4b77-b0d5-5576ae7468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83b79-ffc5-4385-96dc-9b4d019efe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5b349-f30b-4b77-b0d5-5576ae7468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94979-E24F-4851-BEC6-72F94CB5C715}">
  <ds:schemaRefs>
    <ds:schemaRef ds:uri="http://schemas.microsoft.com/sharepoint/v3/contenttype/forms"/>
  </ds:schemaRefs>
</ds:datastoreItem>
</file>

<file path=customXml/itemProps2.xml><?xml version="1.0" encoding="utf-8"?>
<ds:datastoreItem xmlns:ds="http://schemas.openxmlformats.org/officeDocument/2006/customXml" ds:itemID="{8E91A702-F70A-411B-9015-AC89C13E0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83b79-ffc5-4385-96dc-9b4d019efe77"/>
    <ds:schemaRef ds:uri="12e5b349-f30b-4b77-b0d5-5576ae746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4C2D9-2A65-4023-AFC2-89CF48C89210}">
  <ds:schemaRefs>
    <ds:schemaRef ds:uri="http://schemas.openxmlformats.org/officeDocument/2006/bibliography"/>
  </ds:schemaRefs>
</ds:datastoreItem>
</file>

<file path=customXml/itemProps4.xml><?xml version="1.0" encoding="utf-8"?>
<ds:datastoreItem xmlns:ds="http://schemas.openxmlformats.org/officeDocument/2006/customXml" ds:itemID="{746F1B87-544F-4415-B856-9CC691F47F3F}">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76e83b79-ffc5-4385-96dc-9b4d019efe77"/>
    <ds:schemaRef ds:uri="12e5b349-f30b-4b77-b0d5-5576ae7468d9"/>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151</Pages>
  <Words>34419</Words>
  <Characters>196017</Characters>
  <Application>Microsoft Office Word</Application>
  <DocSecurity>0</DocSecurity>
  <Lines>1633</Lines>
  <Paragraphs>459</Paragraphs>
  <ScaleCrop>false</ScaleCrop>
  <HeadingPairs>
    <vt:vector size="2" baseType="variant">
      <vt:variant>
        <vt:lpstr>Title</vt:lpstr>
      </vt:variant>
      <vt:variant>
        <vt:i4>1</vt:i4>
      </vt:variant>
    </vt:vector>
  </HeadingPairs>
  <TitlesOfParts>
    <vt:vector size="1" baseType="lpstr">
      <vt:lpstr>POSTAL SERVICE</vt:lpstr>
    </vt:vector>
  </TitlesOfParts>
  <Company>USPS</Company>
  <LinksUpToDate>false</LinksUpToDate>
  <CharactersWithSpaces>229977</CharactersWithSpaces>
  <SharedDoc>false</SharedDoc>
  <HLinks>
    <vt:vector size="60" baseType="variant">
      <vt:variant>
        <vt:i4>7405596</vt:i4>
      </vt:variant>
      <vt:variant>
        <vt:i4>27</vt:i4>
      </vt:variant>
      <vt:variant>
        <vt:i4>0</vt:i4>
      </vt:variant>
      <vt:variant>
        <vt:i4>5</vt:i4>
      </vt:variant>
      <vt:variant>
        <vt:lpwstr>https://pe.usps.com/text/pub52/pub52c4_026.htm</vt:lpwstr>
      </vt:variant>
      <vt:variant>
        <vt:lpwstr>ep347955</vt:lpwstr>
      </vt:variant>
      <vt:variant>
        <vt:i4>8192026</vt:i4>
      </vt:variant>
      <vt:variant>
        <vt:i4>24</vt:i4>
      </vt:variant>
      <vt:variant>
        <vt:i4>0</vt:i4>
      </vt:variant>
      <vt:variant>
        <vt:i4>5</vt:i4>
      </vt:variant>
      <vt:variant>
        <vt:lpwstr>https://pe.usps.com/text/pub52/pub52c4_026.htm</vt:lpwstr>
      </vt:variant>
      <vt:variant>
        <vt:lpwstr>ep347333</vt:lpwstr>
      </vt:variant>
      <vt:variant>
        <vt:i4>7864351</vt:i4>
      </vt:variant>
      <vt:variant>
        <vt:i4>21</vt:i4>
      </vt:variant>
      <vt:variant>
        <vt:i4>0</vt:i4>
      </vt:variant>
      <vt:variant>
        <vt:i4>5</vt:i4>
      </vt:variant>
      <vt:variant>
        <vt:lpwstr>https://pe.usps.com/text/pub52/pub52c4_026.htm</vt:lpwstr>
      </vt:variant>
      <vt:variant>
        <vt:lpwstr>ep347267</vt:lpwstr>
      </vt:variant>
      <vt:variant>
        <vt:i4>7798810</vt:i4>
      </vt:variant>
      <vt:variant>
        <vt:i4>18</vt:i4>
      </vt:variant>
      <vt:variant>
        <vt:i4>0</vt:i4>
      </vt:variant>
      <vt:variant>
        <vt:i4>5</vt:i4>
      </vt:variant>
      <vt:variant>
        <vt:lpwstr>https://pe.usps.com/text/pub52/pub52c4_026.htm</vt:lpwstr>
      </vt:variant>
      <vt:variant>
        <vt:lpwstr>ep347339</vt:lpwstr>
      </vt:variant>
      <vt:variant>
        <vt:i4>8126488</vt:i4>
      </vt:variant>
      <vt:variant>
        <vt:i4>15</vt:i4>
      </vt:variant>
      <vt:variant>
        <vt:i4>0</vt:i4>
      </vt:variant>
      <vt:variant>
        <vt:i4>5</vt:i4>
      </vt:variant>
      <vt:variant>
        <vt:lpwstr>https://pe.usps.com/text/pub52/pub52c4_026.htm</vt:lpwstr>
      </vt:variant>
      <vt:variant>
        <vt:lpwstr>ep347213</vt:lpwstr>
      </vt:variant>
      <vt:variant>
        <vt:i4>7798809</vt:i4>
      </vt:variant>
      <vt:variant>
        <vt:i4>12</vt:i4>
      </vt:variant>
      <vt:variant>
        <vt:i4>0</vt:i4>
      </vt:variant>
      <vt:variant>
        <vt:i4>5</vt:i4>
      </vt:variant>
      <vt:variant>
        <vt:lpwstr>https://pe.usps.com/text/pub52/pub52c4_026.htm</vt:lpwstr>
      </vt:variant>
      <vt:variant>
        <vt:lpwstr>ep347208</vt:lpwstr>
      </vt:variant>
      <vt:variant>
        <vt:i4>3145840</vt:i4>
      </vt:variant>
      <vt:variant>
        <vt:i4>9</vt:i4>
      </vt:variant>
      <vt:variant>
        <vt:i4>0</vt:i4>
      </vt:variant>
      <vt:variant>
        <vt:i4>5</vt:i4>
      </vt:variant>
      <vt:variant>
        <vt:lpwstr>https://en.wikipedia.org/wiki/Solution</vt:lpwstr>
      </vt:variant>
      <vt:variant>
        <vt:lpwstr/>
      </vt:variant>
      <vt:variant>
        <vt:i4>1703941</vt:i4>
      </vt:variant>
      <vt:variant>
        <vt:i4>6</vt:i4>
      </vt:variant>
      <vt:variant>
        <vt:i4>0</vt:i4>
      </vt:variant>
      <vt:variant>
        <vt:i4>5</vt:i4>
      </vt:variant>
      <vt:variant>
        <vt:lpwstr>https://www.britannica.com/science/solution-chemistry</vt:lpwstr>
      </vt:variant>
      <vt:variant>
        <vt:lpwstr/>
      </vt:variant>
      <vt:variant>
        <vt:i4>1310788</vt:i4>
      </vt:variant>
      <vt:variant>
        <vt:i4>3</vt:i4>
      </vt:variant>
      <vt:variant>
        <vt:i4>0</vt:i4>
      </vt:variant>
      <vt:variant>
        <vt:i4>5</vt:i4>
      </vt:variant>
      <vt:variant>
        <vt:lpwstr>https://goldbook.iupac.org/terms/view/S05746</vt:lpwstr>
      </vt:variant>
      <vt:variant>
        <vt:lpwstr/>
      </vt:variant>
      <vt:variant>
        <vt:i4>6225995</vt:i4>
      </vt:variant>
      <vt:variant>
        <vt:i4>0</vt:i4>
      </vt:variant>
      <vt:variant>
        <vt:i4>0</vt:i4>
      </vt:variant>
      <vt:variant>
        <vt:i4>5</vt:i4>
      </vt:variant>
      <vt:variant>
        <vt:lpwstr>https://go.usa.gov/xHd78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POSTAL SERVICE</dc:title>
  <dc:subject/>
  <dc:creator>alvernaf</dc:creator>
  <cp:keywords/>
  <dc:description/>
  <cp:lastModifiedBy>Kennedy, Dale E - Washington, DC</cp:lastModifiedBy>
  <cp:revision>2</cp:revision>
  <cp:lastPrinted>2021-01-29T20:37:00Z</cp:lastPrinted>
  <dcterms:created xsi:type="dcterms:W3CDTF">2021-10-18T20:28:00Z</dcterms:created>
  <dcterms:modified xsi:type="dcterms:W3CDTF">2021-10-18T20:28:00Z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0x010100CE2DF5C529669A4DABF4E6FE6E8CB4E4</vt:lpwstr>
  </property>
</Properties>
</file>